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FA96" w14:textId="76606B28" w:rsidR="00610A4C" w:rsidRDefault="00610A4C" w:rsidP="00911901">
      <w:r>
        <w:rPr>
          <w:noProof/>
        </w:rPr>
        <w:drawing>
          <wp:anchor distT="0" distB="0" distL="114300" distR="114300" simplePos="0" relativeHeight="251659264" behindDoc="1" locked="0" layoutInCell="1" allowOverlap="1" wp14:anchorId="3B66020C" wp14:editId="536952A3">
            <wp:simplePos x="0" y="0"/>
            <wp:positionH relativeFrom="margin">
              <wp:align>center</wp:align>
            </wp:positionH>
            <wp:positionV relativeFrom="paragraph">
              <wp:posOffset>0</wp:posOffset>
            </wp:positionV>
            <wp:extent cx="1085850" cy="1257300"/>
            <wp:effectExtent l="0" t="0" r="0" b="0"/>
            <wp:wrapThrough wrapText="bothSides">
              <wp:wrapPolygon edited="0">
                <wp:start x="0" y="0"/>
                <wp:lineTo x="0" y="21273"/>
                <wp:lineTo x="21221" y="21273"/>
                <wp:lineTo x="2122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lum bright="24000"/>
                    </a:blip>
                    <a:srcRect/>
                    <a:stretch>
                      <a:fillRect/>
                    </a:stretch>
                  </pic:blipFill>
                  <pic:spPr bwMode="auto">
                    <a:xfrm>
                      <a:off x="0" y="0"/>
                      <a:ext cx="1085850" cy="1257300"/>
                    </a:xfrm>
                    <a:prstGeom prst="rect">
                      <a:avLst/>
                    </a:prstGeom>
                    <a:noFill/>
                  </pic:spPr>
                </pic:pic>
              </a:graphicData>
            </a:graphic>
          </wp:anchor>
        </w:drawing>
      </w:r>
    </w:p>
    <w:p w14:paraId="6BFBDBB5" w14:textId="77777777" w:rsidR="00911901" w:rsidRDefault="00911901" w:rsidP="00911901"/>
    <w:p w14:paraId="02F24535" w14:textId="77777777" w:rsidR="00610A4C" w:rsidRDefault="00610A4C" w:rsidP="00610A4C">
      <w:pPr>
        <w:pStyle w:val="Subtitle"/>
        <w:jc w:val="center"/>
      </w:pPr>
    </w:p>
    <w:p w14:paraId="2355A758" w14:textId="77777777" w:rsidR="00610A4C" w:rsidRDefault="00610A4C" w:rsidP="00610A4C">
      <w:pPr>
        <w:pStyle w:val="Subtitle"/>
        <w:jc w:val="center"/>
      </w:pPr>
    </w:p>
    <w:p w14:paraId="2801B171" w14:textId="77777777" w:rsidR="00610A4C" w:rsidRDefault="00610A4C" w:rsidP="00610A4C">
      <w:pPr>
        <w:pStyle w:val="Subtitle"/>
        <w:jc w:val="center"/>
      </w:pPr>
    </w:p>
    <w:p w14:paraId="6400F7B1" w14:textId="77777777" w:rsidR="001732D6" w:rsidRDefault="001732D6" w:rsidP="00610A4C">
      <w:pPr>
        <w:pStyle w:val="Subtitle"/>
        <w:jc w:val="center"/>
        <w:rPr>
          <w:sz w:val="22"/>
        </w:rPr>
      </w:pPr>
    </w:p>
    <w:p w14:paraId="142B319F" w14:textId="77777777" w:rsidR="001732D6" w:rsidRDefault="001732D6" w:rsidP="00610A4C">
      <w:pPr>
        <w:pStyle w:val="Subtitle"/>
        <w:jc w:val="center"/>
        <w:rPr>
          <w:sz w:val="22"/>
        </w:rPr>
      </w:pPr>
    </w:p>
    <w:p w14:paraId="581B5EF3" w14:textId="77777777" w:rsidR="001732D6" w:rsidRDefault="001732D6" w:rsidP="00610A4C">
      <w:pPr>
        <w:pStyle w:val="Subtitle"/>
        <w:jc w:val="center"/>
        <w:rPr>
          <w:sz w:val="22"/>
        </w:rPr>
      </w:pPr>
    </w:p>
    <w:p w14:paraId="2D168757" w14:textId="77777777" w:rsidR="00610A4C" w:rsidRPr="00EF7277" w:rsidRDefault="00610A4C" w:rsidP="00610A4C">
      <w:pPr>
        <w:pStyle w:val="Subtitle"/>
        <w:jc w:val="center"/>
        <w:rPr>
          <w:sz w:val="22"/>
        </w:rPr>
      </w:pPr>
      <w:r w:rsidRPr="00EF7277">
        <w:rPr>
          <w:sz w:val="22"/>
        </w:rPr>
        <w:t>THE UNIVERSITY OF THE WEST INDIES</w:t>
      </w:r>
    </w:p>
    <w:p w14:paraId="5452E022" w14:textId="77777777" w:rsidR="00610A4C" w:rsidRDefault="00610A4C" w:rsidP="00610A4C">
      <w:pPr>
        <w:pStyle w:val="Subtitle"/>
        <w:tabs>
          <w:tab w:val="left" w:pos="4680"/>
        </w:tabs>
        <w:jc w:val="center"/>
        <w:rPr>
          <w:sz w:val="22"/>
          <w:szCs w:val="24"/>
        </w:rPr>
      </w:pPr>
      <w:r w:rsidRPr="00EF7277">
        <w:rPr>
          <w:sz w:val="22"/>
          <w:szCs w:val="24"/>
        </w:rPr>
        <w:t xml:space="preserve">ST. AUGUSTINE, </w:t>
      </w:r>
      <w:r>
        <w:rPr>
          <w:sz w:val="22"/>
          <w:szCs w:val="24"/>
        </w:rPr>
        <w:t>TRINIDAD AND</w:t>
      </w:r>
      <w:r w:rsidRPr="00EF7277">
        <w:rPr>
          <w:sz w:val="22"/>
          <w:szCs w:val="24"/>
        </w:rPr>
        <w:t xml:space="preserve"> TOBAGO</w:t>
      </w:r>
      <w:r>
        <w:rPr>
          <w:sz w:val="22"/>
          <w:szCs w:val="24"/>
        </w:rPr>
        <w:t>, WEST INDIES</w:t>
      </w:r>
    </w:p>
    <w:p w14:paraId="0A6D55CA" w14:textId="77777777" w:rsidR="00610A4C" w:rsidRPr="00EF7277" w:rsidRDefault="00610A4C" w:rsidP="00610A4C">
      <w:pPr>
        <w:pStyle w:val="Subtitle"/>
        <w:tabs>
          <w:tab w:val="left" w:pos="4680"/>
        </w:tabs>
        <w:jc w:val="center"/>
        <w:rPr>
          <w:sz w:val="22"/>
          <w:szCs w:val="24"/>
        </w:rPr>
      </w:pPr>
    </w:p>
    <w:p w14:paraId="1F80ED44" w14:textId="77777777" w:rsidR="00610A4C" w:rsidRDefault="00610A4C" w:rsidP="00610A4C">
      <w:pPr>
        <w:pBdr>
          <w:top w:val="single" w:sz="12" w:space="1" w:color="auto"/>
          <w:left w:val="single" w:sz="12" w:space="4" w:color="auto"/>
          <w:bottom w:val="single" w:sz="12" w:space="1" w:color="auto"/>
          <w:right w:val="single" w:sz="12" w:space="4" w:color="auto"/>
        </w:pBdr>
      </w:pPr>
      <w:r>
        <w:rPr>
          <w:b/>
          <w:bCs/>
          <w:sz w:val="28"/>
          <w:szCs w:val="28"/>
        </w:rPr>
        <w:t>1 G</w:t>
      </w:r>
      <w:r>
        <w:rPr>
          <w:b/>
          <w:bCs/>
          <w:sz w:val="22"/>
          <w:szCs w:val="22"/>
        </w:rPr>
        <w:t xml:space="preserve">ENERAL </w:t>
      </w:r>
      <w:r>
        <w:rPr>
          <w:b/>
          <w:bCs/>
          <w:sz w:val="28"/>
          <w:szCs w:val="28"/>
        </w:rPr>
        <w:t>I</w:t>
      </w:r>
      <w:r>
        <w:rPr>
          <w:b/>
          <w:bCs/>
          <w:sz w:val="22"/>
          <w:szCs w:val="22"/>
        </w:rPr>
        <w:t xml:space="preserve">NFORMATION </w:t>
      </w:r>
      <w:r>
        <w:rPr>
          <w:b/>
          <w:bCs/>
          <w:sz w:val="28"/>
          <w:szCs w:val="28"/>
        </w:rPr>
        <w:t>S</w:t>
      </w:r>
      <w:r>
        <w:rPr>
          <w:b/>
          <w:bCs/>
          <w:sz w:val="22"/>
          <w:szCs w:val="22"/>
        </w:rPr>
        <w:t>UMMARY</w:t>
      </w:r>
    </w:p>
    <w:p w14:paraId="301B1D1A" w14:textId="77777777" w:rsidR="00610A4C" w:rsidRDefault="00610A4C" w:rsidP="00610A4C"/>
    <w:tbl>
      <w:tblPr>
        <w:tblStyle w:val="TableGrid"/>
        <w:tblW w:w="0" w:type="auto"/>
        <w:tblLook w:val="04A0" w:firstRow="1" w:lastRow="0" w:firstColumn="1" w:lastColumn="0" w:noHBand="0" w:noVBand="1"/>
      </w:tblPr>
      <w:tblGrid>
        <w:gridCol w:w="2314"/>
        <w:gridCol w:w="7036"/>
      </w:tblGrid>
      <w:tr w:rsidR="00610A4C" w14:paraId="2E6793E1" w14:textId="77777777" w:rsidTr="00610A4C">
        <w:tc>
          <w:tcPr>
            <w:tcW w:w="2358" w:type="dxa"/>
          </w:tcPr>
          <w:p w14:paraId="1B38284B" w14:textId="77777777" w:rsidR="00610A4C" w:rsidRPr="00610A4C" w:rsidRDefault="00610A4C" w:rsidP="00610A4C">
            <w:pPr>
              <w:pStyle w:val="Default"/>
              <w:rPr>
                <w:sz w:val="20"/>
                <w:szCs w:val="20"/>
              </w:rPr>
            </w:pPr>
            <w:r>
              <w:rPr>
                <w:b/>
                <w:bCs/>
                <w:sz w:val="20"/>
                <w:szCs w:val="20"/>
              </w:rPr>
              <w:t>Course title</w:t>
            </w:r>
          </w:p>
        </w:tc>
        <w:tc>
          <w:tcPr>
            <w:tcW w:w="7218" w:type="dxa"/>
          </w:tcPr>
          <w:p w14:paraId="546E816A" w14:textId="77777777" w:rsidR="00610A4C" w:rsidRDefault="00610A4C" w:rsidP="00610A4C">
            <w:r>
              <w:t>ECONOMIC INTEGRATION</w:t>
            </w:r>
          </w:p>
        </w:tc>
      </w:tr>
      <w:tr w:rsidR="00610A4C" w14:paraId="4D98E389" w14:textId="77777777" w:rsidTr="00610A4C">
        <w:tc>
          <w:tcPr>
            <w:tcW w:w="2358" w:type="dxa"/>
          </w:tcPr>
          <w:p w14:paraId="56A0E672" w14:textId="77777777" w:rsidR="00610A4C" w:rsidRPr="00610A4C" w:rsidRDefault="00610A4C" w:rsidP="00610A4C">
            <w:pPr>
              <w:pStyle w:val="Default"/>
              <w:rPr>
                <w:sz w:val="20"/>
                <w:szCs w:val="20"/>
              </w:rPr>
            </w:pPr>
            <w:r>
              <w:rPr>
                <w:b/>
                <w:bCs/>
                <w:sz w:val="20"/>
                <w:szCs w:val="20"/>
              </w:rPr>
              <w:t>Course code</w:t>
            </w:r>
          </w:p>
        </w:tc>
        <w:tc>
          <w:tcPr>
            <w:tcW w:w="7218" w:type="dxa"/>
          </w:tcPr>
          <w:p w14:paraId="75B576BB" w14:textId="77777777" w:rsidR="00610A4C" w:rsidRDefault="00610A4C" w:rsidP="00610A4C">
            <w:r>
              <w:t>ECON 3020</w:t>
            </w:r>
          </w:p>
        </w:tc>
      </w:tr>
      <w:tr w:rsidR="00610A4C" w14:paraId="4D21F0B4" w14:textId="77777777" w:rsidTr="00610A4C">
        <w:tc>
          <w:tcPr>
            <w:tcW w:w="2358" w:type="dxa"/>
          </w:tcPr>
          <w:p w14:paraId="7D5DE57E" w14:textId="77777777" w:rsidR="00610A4C" w:rsidRPr="00610A4C" w:rsidRDefault="00610A4C" w:rsidP="00610A4C">
            <w:pPr>
              <w:pStyle w:val="Default"/>
              <w:rPr>
                <w:sz w:val="20"/>
                <w:szCs w:val="20"/>
              </w:rPr>
            </w:pPr>
            <w:r>
              <w:rPr>
                <w:b/>
                <w:bCs/>
                <w:sz w:val="20"/>
                <w:szCs w:val="20"/>
              </w:rPr>
              <w:t xml:space="preserve">Course proposer </w:t>
            </w:r>
          </w:p>
        </w:tc>
        <w:tc>
          <w:tcPr>
            <w:tcW w:w="7218" w:type="dxa"/>
          </w:tcPr>
          <w:p w14:paraId="163A141A" w14:textId="77777777" w:rsidR="00610A4C" w:rsidRDefault="00610A4C" w:rsidP="00610A4C">
            <w:r>
              <w:t>DEPARTMENT OF ECONOMICS</w:t>
            </w:r>
          </w:p>
        </w:tc>
      </w:tr>
      <w:tr w:rsidR="00610A4C" w14:paraId="59A5A1BD" w14:textId="77777777" w:rsidTr="00610A4C">
        <w:tc>
          <w:tcPr>
            <w:tcW w:w="2358" w:type="dxa"/>
          </w:tcPr>
          <w:p w14:paraId="2A1BF944" w14:textId="77777777" w:rsidR="00610A4C" w:rsidRPr="00610A4C" w:rsidRDefault="00610A4C" w:rsidP="00610A4C">
            <w:pPr>
              <w:pStyle w:val="Default"/>
              <w:rPr>
                <w:sz w:val="20"/>
                <w:szCs w:val="20"/>
              </w:rPr>
            </w:pPr>
            <w:r>
              <w:rPr>
                <w:b/>
                <w:bCs/>
                <w:sz w:val="20"/>
                <w:szCs w:val="20"/>
              </w:rPr>
              <w:t xml:space="preserve">Course type </w:t>
            </w:r>
          </w:p>
        </w:tc>
        <w:tc>
          <w:tcPr>
            <w:tcW w:w="7218" w:type="dxa"/>
          </w:tcPr>
          <w:p w14:paraId="0E36714F" w14:textId="77777777" w:rsidR="00610A4C" w:rsidRDefault="00610A4C" w:rsidP="00610A4C">
            <w:r>
              <w:t>ELECTIVE</w:t>
            </w:r>
          </w:p>
        </w:tc>
      </w:tr>
      <w:tr w:rsidR="00610A4C" w14:paraId="7BA38411" w14:textId="77777777" w:rsidTr="00610A4C">
        <w:tc>
          <w:tcPr>
            <w:tcW w:w="2358" w:type="dxa"/>
          </w:tcPr>
          <w:p w14:paraId="423AB8C9" w14:textId="77777777" w:rsidR="00610A4C" w:rsidRPr="00610A4C" w:rsidRDefault="00610A4C" w:rsidP="00610A4C">
            <w:pPr>
              <w:pStyle w:val="Default"/>
              <w:rPr>
                <w:sz w:val="20"/>
                <w:szCs w:val="20"/>
              </w:rPr>
            </w:pPr>
            <w:r>
              <w:rPr>
                <w:b/>
                <w:bCs/>
                <w:sz w:val="20"/>
                <w:szCs w:val="20"/>
              </w:rPr>
              <w:t xml:space="preserve">Level </w:t>
            </w:r>
          </w:p>
        </w:tc>
        <w:tc>
          <w:tcPr>
            <w:tcW w:w="7218" w:type="dxa"/>
          </w:tcPr>
          <w:p w14:paraId="61CFCACA" w14:textId="77777777" w:rsidR="00610A4C" w:rsidRDefault="00610A4C" w:rsidP="00610A4C">
            <w:r>
              <w:t>YEAR 3</w:t>
            </w:r>
          </w:p>
        </w:tc>
      </w:tr>
      <w:tr w:rsidR="00610A4C" w14:paraId="28A2316C" w14:textId="77777777" w:rsidTr="00610A4C">
        <w:tc>
          <w:tcPr>
            <w:tcW w:w="2358" w:type="dxa"/>
          </w:tcPr>
          <w:p w14:paraId="4B0E7477" w14:textId="77777777" w:rsidR="00610A4C" w:rsidRPr="00610A4C" w:rsidRDefault="00610A4C" w:rsidP="00610A4C">
            <w:pPr>
              <w:pStyle w:val="Default"/>
              <w:rPr>
                <w:sz w:val="20"/>
                <w:szCs w:val="20"/>
              </w:rPr>
            </w:pPr>
            <w:r>
              <w:rPr>
                <w:b/>
                <w:bCs/>
                <w:sz w:val="20"/>
                <w:szCs w:val="20"/>
              </w:rPr>
              <w:t xml:space="preserve">Semester in which course will be offered: </w:t>
            </w:r>
          </w:p>
        </w:tc>
        <w:tc>
          <w:tcPr>
            <w:tcW w:w="7218" w:type="dxa"/>
          </w:tcPr>
          <w:p w14:paraId="0496CF7A" w14:textId="77777777" w:rsidR="00610A4C" w:rsidRDefault="00610A4C" w:rsidP="00610A4C">
            <w:r>
              <w:t>SEMESTER 2</w:t>
            </w:r>
          </w:p>
        </w:tc>
      </w:tr>
      <w:tr w:rsidR="00610A4C" w14:paraId="6B7A7CAE" w14:textId="77777777" w:rsidTr="00610A4C">
        <w:tc>
          <w:tcPr>
            <w:tcW w:w="2358" w:type="dxa"/>
          </w:tcPr>
          <w:p w14:paraId="714EB541" w14:textId="77777777" w:rsidR="00610A4C" w:rsidRPr="00610A4C" w:rsidRDefault="00610A4C" w:rsidP="00610A4C">
            <w:pPr>
              <w:pStyle w:val="Default"/>
              <w:rPr>
                <w:sz w:val="20"/>
                <w:szCs w:val="20"/>
              </w:rPr>
            </w:pPr>
            <w:r>
              <w:rPr>
                <w:b/>
                <w:bCs/>
                <w:sz w:val="20"/>
                <w:szCs w:val="20"/>
              </w:rPr>
              <w:t xml:space="preserve">Course Provider </w:t>
            </w:r>
          </w:p>
        </w:tc>
        <w:tc>
          <w:tcPr>
            <w:tcW w:w="7218" w:type="dxa"/>
          </w:tcPr>
          <w:p w14:paraId="738C6137" w14:textId="77777777" w:rsidR="00610A4C" w:rsidRDefault="00610A4C" w:rsidP="00610A4C">
            <w:r>
              <w:t>DEPARTMENT OF ECONOMICS</w:t>
            </w:r>
          </w:p>
        </w:tc>
      </w:tr>
      <w:tr w:rsidR="00610A4C" w14:paraId="0BCAE957" w14:textId="77777777" w:rsidTr="00610A4C">
        <w:tc>
          <w:tcPr>
            <w:tcW w:w="2358" w:type="dxa"/>
          </w:tcPr>
          <w:p w14:paraId="550E093C" w14:textId="77777777" w:rsidR="00610A4C" w:rsidRPr="00610A4C" w:rsidRDefault="00610A4C" w:rsidP="00610A4C">
            <w:pPr>
              <w:pStyle w:val="Default"/>
              <w:rPr>
                <w:sz w:val="20"/>
                <w:szCs w:val="20"/>
              </w:rPr>
            </w:pPr>
            <w:r>
              <w:rPr>
                <w:b/>
                <w:bCs/>
                <w:sz w:val="20"/>
                <w:szCs w:val="20"/>
              </w:rPr>
              <w:t xml:space="preserve">Credits </w:t>
            </w:r>
          </w:p>
        </w:tc>
        <w:tc>
          <w:tcPr>
            <w:tcW w:w="7218" w:type="dxa"/>
          </w:tcPr>
          <w:p w14:paraId="16851D8A" w14:textId="77777777" w:rsidR="00610A4C" w:rsidRDefault="00610A4C" w:rsidP="00610A4C">
            <w:r>
              <w:t>3</w:t>
            </w:r>
          </w:p>
        </w:tc>
      </w:tr>
      <w:tr w:rsidR="00610A4C" w14:paraId="0EF05D35" w14:textId="77777777" w:rsidTr="00610A4C">
        <w:tc>
          <w:tcPr>
            <w:tcW w:w="2358" w:type="dxa"/>
          </w:tcPr>
          <w:p w14:paraId="0266568C" w14:textId="77777777" w:rsidR="00610A4C" w:rsidRPr="00610A4C" w:rsidRDefault="00610A4C" w:rsidP="00610A4C">
            <w:pPr>
              <w:pStyle w:val="Default"/>
              <w:rPr>
                <w:sz w:val="20"/>
                <w:szCs w:val="20"/>
              </w:rPr>
            </w:pPr>
            <w:r>
              <w:rPr>
                <w:b/>
                <w:bCs/>
                <w:sz w:val="20"/>
                <w:szCs w:val="20"/>
              </w:rPr>
              <w:t xml:space="preserve">Pre-requisites </w:t>
            </w:r>
          </w:p>
        </w:tc>
        <w:tc>
          <w:tcPr>
            <w:tcW w:w="7218" w:type="dxa"/>
          </w:tcPr>
          <w:p w14:paraId="2B12E538" w14:textId="69B3E2AC" w:rsidR="00610A4C" w:rsidRDefault="00610A4C" w:rsidP="00610A4C">
            <w:r>
              <w:t>ECON 2000, ECON 200</w:t>
            </w:r>
            <w:r w:rsidR="003C0FFA">
              <w:t>1</w:t>
            </w:r>
          </w:p>
        </w:tc>
      </w:tr>
      <w:tr w:rsidR="00610A4C" w14:paraId="327542C3" w14:textId="77777777" w:rsidTr="00610A4C">
        <w:tc>
          <w:tcPr>
            <w:tcW w:w="2358" w:type="dxa"/>
          </w:tcPr>
          <w:p w14:paraId="363465CA" w14:textId="77777777" w:rsidR="00610A4C" w:rsidRPr="00610A4C" w:rsidRDefault="00610A4C" w:rsidP="00610A4C">
            <w:pPr>
              <w:pStyle w:val="Default"/>
              <w:rPr>
                <w:sz w:val="20"/>
                <w:szCs w:val="20"/>
              </w:rPr>
            </w:pPr>
            <w:r>
              <w:rPr>
                <w:b/>
                <w:bCs/>
                <w:sz w:val="20"/>
                <w:szCs w:val="20"/>
              </w:rPr>
              <w:t xml:space="preserve">Teaching Methods </w:t>
            </w:r>
          </w:p>
        </w:tc>
        <w:tc>
          <w:tcPr>
            <w:tcW w:w="7218" w:type="dxa"/>
          </w:tcPr>
          <w:p w14:paraId="1331BE51" w14:textId="77777777" w:rsidR="004C6E5A" w:rsidRDefault="00610A4C" w:rsidP="004C6E5A">
            <w:pPr>
              <w:pStyle w:val="Default"/>
              <w:numPr>
                <w:ilvl w:val="0"/>
                <w:numId w:val="2"/>
              </w:numPr>
              <w:rPr>
                <w:sz w:val="20"/>
                <w:szCs w:val="20"/>
              </w:rPr>
            </w:pPr>
            <w:r>
              <w:rPr>
                <w:sz w:val="20"/>
                <w:szCs w:val="20"/>
              </w:rPr>
              <w:t>Lecture</w:t>
            </w:r>
            <w:r w:rsidR="004C6E5A">
              <w:rPr>
                <w:sz w:val="20"/>
                <w:szCs w:val="20"/>
              </w:rPr>
              <w:t>s</w:t>
            </w:r>
            <w:r>
              <w:rPr>
                <w:sz w:val="20"/>
                <w:szCs w:val="20"/>
              </w:rPr>
              <w:t xml:space="preserve"> </w:t>
            </w:r>
          </w:p>
          <w:p w14:paraId="765EEB49" w14:textId="77777777" w:rsidR="00610A4C" w:rsidRPr="004C6E5A" w:rsidRDefault="004C6E5A" w:rsidP="004C6E5A">
            <w:pPr>
              <w:pStyle w:val="Default"/>
              <w:numPr>
                <w:ilvl w:val="0"/>
                <w:numId w:val="2"/>
              </w:numPr>
              <w:rPr>
                <w:sz w:val="20"/>
                <w:szCs w:val="20"/>
              </w:rPr>
            </w:pPr>
            <w:r>
              <w:rPr>
                <w:sz w:val="20"/>
                <w:szCs w:val="20"/>
              </w:rPr>
              <w:t>Tutorials</w:t>
            </w:r>
          </w:p>
        </w:tc>
      </w:tr>
      <w:tr w:rsidR="00610A4C" w14:paraId="6B3B7331" w14:textId="77777777" w:rsidTr="00610A4C">
        <w:tc>
          <w:tcPr>
            <w:tcW w:w="2358" w:type="dxa"/>
          </w:tcPr>
          <w:p w14:paraId="578EF467" w14:textId="77777777" w:rsidR="00610A4C" w:rsidRPr="00610A4C" w:rsidRDefault="00610A4C" w:rsidP="00610A4C">
            <w:pPr>
              <w:pStyle w:val="Default"/>
              <w:rPr>
                <w:sz w:val="20"/>
                <w:szCs w:val="20"/>
              </w:rPr>
            </w:pPr>
            <w:r>
              <w:rPr>
                <w:b/>
                <w:bCs/>
                <w:sz w:val="20"/>
                <w:szCs w:val="20"/>
              </w:rPr>
              <w:t xml:space="preserve">Estimated Study Hours </w:t>
            </w:r>
          </w:p>
        </w:tc>
        <w:tc>
          <w:tcPr>
            <w:tcW w:w="7218" w:type="dxa"/>
          </w:tcPr>
          <w:p w14:paraId="2242EAC9" w14:textId="77777777" w:rsidR="00610A4C" w:rsidRDefault="00610A4C" w:rsidP="00610A4C">
            <w:pPr>
              <w:pStyle w:val="Default"/>
              <w:rPr>
                <w:sz w:val="20"/>
                <w:szCs w:val="20"/>
              </w:rPr>
            </w:pPr>
            <w:r>
              <w:rPr>
                <w:sz w:val="20"/>
                <w:szCs w:val="20"/>
              </w:rPr>
              <w:t xml:space="preserve">Hours/week: </w:t>
            </w:r>
          </w:p>
          <w:p w14:paraId="7C35F2EA" w14:textId="77777777" w:rsidR="00610A4C" w:rsidRDefault="00610A4C" w:rsidP="00610A4C">
            <w:pPr>
              <w:pStyle w:val="Default"/>
              <w:numPr>
                <w:ilvl w:val="0"/>
                <w:numId w:val="1"/>
              </w:numPr>
              <w:rPr>
                <w:sz w:val="20"/>
                <w:szCs w:val="20"/>
              </w:rPr>
            </w:pPr>
            <w:r>
              <w:rPr>
                <w:sz w:val="20"/>
                <w:szCs w:val="20"/>
              </w:rPr>
              <w:t>Lectures: 2</w:t>
            </w:r>
          </w:p>
          <w:p w14:paraId="3CB4E94E" w14:textId="77777777" w:rsidR="00610A4C" w:rsidRDefault="00610A4C" w:rsidP="00610A4C">
            <w:pPr>
              <w:pStyle w:val="Default"/>
              <w:numPr>
                <w:ilvl w:val="0"/>
                <w:numId w:val="1"/>
              </w:numPr>
              <w:rPr>
                <w:sz w:val="20"/>
                <w:szCs w:val="20"/>
              </w:rPr>
            </w:pPr>
            <w:r>
              <w:rPr>
                <w:sz w:val="20"/>
                <w:szCs w:val="20"/>
              </w:rPr>
              <w:t>Tutorials: 1</w:t>
            </w:r>
          </w:p>
          <w:p w14:paraId="03671734" w14:textId="77777777" w:rsidR="00610A4C" w:rsidRDefault="00610A4C" w:rsidP="00610A4C">
            <w:pPr>
              <w:pStyle w:val="Default"/>
              <w:numPr>
                <w:ilvl w:val="0"/>
                <w:numId w:val="1"/>
              </w:numPr>
              <w:rPr>
                <w:sz w:val="20"/>
                <w:szCs w:val="20"/>
              </w:rPr>
            </w:pPr>
            <w:r>
              <w:rPr>
                <w:sz w:val="20"/>
                <w:szCs w:val="20"/>
              </w:rPr>
              <w:t xml:space="preserve">Independent Study (reading, revising, etc.): 8 </w:t>
            </w:r>
          </w:p>
          <w:p w14:paraId="24F1CC68" w14:textId="77777777" w:rsidR="00610A4C" w:rsidRPr="00610A4C" w:rsidRDefault="00610A4C" w:rsidP="00610A4C">
            <w:pPr>
              <w:pStyle w:val="Default"/>
              <w:numPr>
                <w:ilvl w:val="0"/>
                <w:numId w:val="1"/>
              </w:numPr>
              <w:rPr>
                <w:sz w:val="20"/>
                <w:szCs w:val="20"/>
              </w:rPr>
            </w:pPr>
            <w:r>
              <w:rPr>
                <w:sz w:val="20"/>
                <w:szCs w:val="20"/>
              </w:rPr>
              <w:t xml:space="preserve">Online: 5 </w:t>
            </w:r>
          </w:p>
        </w:tc>
      </w:tr>
      <w:tr w:rsidR="00610A4C" w14:paraId="484A0B9B" w14:textId="77777777" w:rsidTr="00610A4C">
        <w:tc>
          <w:tcPr>
            <w:tcW w:w="2358" w:type="dxa"/>
          </w:tcPr>
          <w:p w14:paraId="62BF0E98" w14:textId="77777777" w:rsidR="00610A4C" w:rsidRPr="00610A4C" w:rsidRDefault="00610A4C" w:rsidP="00610A4C">
            <w:pPr>
              <w:pStyle w:val="Default"/>
              <w:rPr>
                <w:sz w:val="20"/>
                <w:szCs w:val="20"/>
              </w:rPr>
            </w:pPr>
            <w:r>
              <w:rPr>
                <w:b/>
                <w:bCs/>
                <w:sz w:val="20"/>
                <w:szCs w:val="20"/>
              </w:rPr>
              <w:t xml:space="preserve">Total no. of assessments </w:t>
            </w:r>
          </w:p>
        </w:tc>
        <w:tc>
          <w:tcPr>
            <w:tcW w:w="7218" w:type="dxa"/>
          </w:tcPr>
          <w:p w14:paraId="569FB75B" w14:textId="77777777" w:rsidR="00610A4C" w:rsidRDefault="004C6E5A" w:rsidP="00610A4C">
            <w:r>
              <w:t>2</w:t>
            </w:r>
          </w:p>
        </w:tc>
      </w:tr>
      <w:tr w:rsidR="00610A4C" w14:paraId="64C0A845" w14:textId="77777777" w:rsidTr="00610A4C">
        <w:tc>
          <w:tcPr>
            <w:tcW w:w="2358" w:type="dxa"/>
          </w:tcPr>
          <w:p w14:paraId="5BAC0236" w14:textId="77777777" w:rsidR="00610A4C" w:rsidRPr="004C6E5A" w:rsidRDefault="00610A4C" w:rsidP="00610A4C">
            <w:pPr>
              <w:pStyle w:val="Default"/>
              <w:rPr>
                <w:b/>
                <w:sz w:val="22"/>
                <w:szCs w:val="22"/>
              </w:rPr>
            </w:pPr>
            <w:r w:rsidRPr="004C6E5A">
              <w:rPr>
                <w:b/>
                <w:sz w:val="20"/>
                <w:szCs w:val="22"/>
              </w:rPr>
              <w:t xml:space="preserve">Instructor information </w:t>
            </w:r>
          </w:p>
        </w:tc>
        <w:tc>
          <w:tcPr>
            <w:tcW w:w="7218" w:type="dxa"/>
          </w:tcPr>
          <w:p w14:paraId="70DDC7B4" w14:textId="19A24589" w:rsidR="004C6E5A" w:rsidRDefault="004C6E5A" w:rsidP="004C6E5A">
            <w:pPr>
              <w:pStyle w:val="Default"/>
              <w:rPr>
                <w:sz w:val="20"/>
                <w:szCs w:val="20"/>
              </w:rPr>
            </w:pPr>
            <w:r>
              <w:rPr>
                <w:sz w:val="20"/>
                <w:szCs w:val="20"/>
              </w:rPr>
              <w:t>Name of instructor(s): Dr. Roger Hosein</w:t>
            </w:r>
            <w:r w:rsidR="002D5269">
              <w:rPr>
                <w:sz w:val="20"/>
                <w:szCs w:val="20"/>
              </w:rPr>
              <w:t>; Dr Rebecca Gookool-Bosland</w:t>
            </w:r>
          </w:p>
          <w:p w14:paraId="0743286C" w14:textId="77777777" w:rsidR="004C6E5A" w:rsidRDefault="004C6E5A" w:rsidP="004C6E5A">
            <w:pPr>
              <w:pStyle w:val="Default"/>
              <w:rPr>
                <w:sz w:val="20"/>
                <w:szCs w:val="20"/>
              </w:rPr>
            </w:pPr>
            <w:r>
              <w:rPr>
                <w:sz w:val="20"/>
                <w:szCs w:val="20"/>
              </w:rPr>
              <w:t xml:space="preserve">Office address and phone: Room 218 Social Sciences </w:t>
            </w:r>
          </w:p>
          <w:p w14:paraId="36727D98" w14:textId="2FC72E49" w:rsidR="004C6E5A" w:rsidRPr="004C6E5A" w:rsidRDefault="004C6E5A" w:rsidP="004C6E5A">
            <w:pPr>
              <w:pStyle w:val="Default"/>
              <w:rPr>
                <w:color w:val="auto"/>
                <w:sz w:val="20"/>
                <w:szCs w:val="20"/>
              </w:rPr>
            </w:pPr>
            <w:r>
              <w:rPr>
                <w:sz w:val="20"/>
                <w:szCs w:val="20"/>
              </w:rPr>
              <w:t xml:space="preserve">E-mail address: </w:t>
            </w:r>
            <w:hyperlink r:id="rId6" w:history="1">
              <w:r w:rsidRPr="004C6E5A">
                <w:rPr>
                  <w:rStyle w:val="Hyperlink"/>
                  <w:color w:val="auto"/>
                  <w:sz w:val="20"/>
                  <w:szCs w:val="20"/>
                </w:rPr>
                <w:t>Roger.Hosein@sta.uwi.edu</w:t>
              </w:r>
            </w:hyperlink>
            <w:r w:rsidR="002D5269">
              <w:rPr>
                <w:rStyle w:val="Hyperlink"/>
                <w:color w:val="auto"/>
                <w:sz w:val="20"/>
                <w:szCs w:val="20"/>
              </w:rPr>
              <w:t>;</w:t>
            </w:r>
            <w:r w:rsidR="002D5269">
              <w:rPr>
                <w:rStyle w:val="Hyperlink"/>
              </w:rPr>
              <w:t xml:space="preserve"> Rebecca.Gookool@sta.uwi.edu</w:t>
            </w:r>
          </w:p>
          <w:p w14:paraId="6148F932" w14:textId="77777777" w:rsidR="004C6E5A" w:rsidRDefault="004C6E5A" w:rsidP="004C6E5A">
            <w:pPr>
              <w:pStyle w:val="Default"/>
              <w:rPr>
                <w:sz w:val="20"/>
                <w:szCs w:val="20"/>
              </w:rPr>
            </w:pPr>
            <w:r>
              <w:rPr>
                <w:sz w:val="20"/>
                <w:szCs w:val="20"/>
              </w:rPr>
              <w:t xml:space="preserve">Phone Contact: 662-2002 </w:t>
            </w:r>
            <w:proofErr w:type="spellStart"/>
            <w:r>
              <w:rPr>
                <w:sz w:val="20"/>
                <w:szCs w:val="20"/>
              </w:rPr>
              <w:t>ext</w:t>
            </w:r>
            <w:proofErr w:type="spellEnd"/>
            <w:r>
              <w:rPr>
                <w:sz w:val="20"/>
                <w:szCs w:val="20"/>
              </w:rPr>
              <w:t xml:space="preserve"> 83041</w:t>
            </w:r>
          </w:p>
          <w:p w14:paraId="478CF038" w14:textId="77777777" w:rsidR="004C6E5A" w:rsidRDefault="004C6E5A" w:rsidP="004C6E5A">
            <w:pPr>
              <w:pStyle w:val="Default"/>
              <w:rPr>
                <w:sz w:val="20"/>
                <w:szCs w:val="20"/>
              </w:rPr>
            </w:pPr>
            <w:r>
              <w:rPr>
                <w:sz w:val="20"/>
                <w:szCs w:val="20"/>
              </w:rPr>
              <w:t>Office hours: To be announced</w:t>
            </w:r>
          </w:p>
          <w:p w14:paraId="04E87442" w14:textId="77777777" w:rsidR="00610A4C" w:rsidRPr="001A1203" w:rsidRDefault="004C6E5A" w:rsidP="004C6E5A">
            <w:pPr>
              <w:rPr>
                <w:rFonts w:ascii="Bookman Old Style" w:hAnsi="Bookman Old Style"/>
              </w:rPr>
            </w:pPr>
            <w:r w:rsidRPr="001A1203">
              <w:rPr>
                <w:rFonts w:ascii="Bookman Old Style" w:hAnsi="Bookman Old Style"/>
                <w:sz w:val="20"/>
                <w:szCs w:val="20"/>
              </w:rPr>
              <w:t xml:space="preserve">Communication policy – The preferred method of communication is via email </w:t>
            </w:r>
          </w:p>
        </w:tc>
      </w:tr>
    </w:tbl>
    <w:p w14:paraId="4E0443EB" w14:textId="77777777" w:rsidR="00966AF6" w:rsidRDefault="00966AF6" w:rsidP="00610A4C"/>
    <w:p w14:paraId="14AE7AF2" w14:textId="77777777" w:rsidR="00324C25" w:rsidRDefault="00324C25" w:rsidP="00610A4C"/>
    <w:p w14:paraId="04AF50F6" w14:textId="77777777" w:rsidR="00324C25" w:rsidRDefault="00324C25" w:rsidP="00610A4C"/>
    <w:p w14:paraId="54C1A5F0" w14:textId="77777777" w:rsidR="00324C25" w:rsidRDefault="00324C25" w:rsidP="00610A4C"/>
    <w:p w14:paraId="2407C759" w14:textId="77777777" w:rsidR="00324C25" w:rsidRDefault="00324C25" w:rsidP="00610A4C"/>
    <w:p w14:paraId="59776F08" w14:textId="77777777" w:rsidR="00324C25" w:rsidRDefault="00324C25" w:rsidP="00610A4C"/>
    <w:p w14:paraId="43D8BC22" w14:textId="77777777" w:rsidR="004C6E5A" w:rsidRPr="004C6E5A" w:rsidRDefault="004C6E5A" w:rsidP="004C6E5A">
      <w:pPr>
        <w:autoSpaceDE w:val="0"/>
        <w:autoSpaceDN w:val="0"/>
        <w:adjustRightInd w:val="0"/>
        <w:rPr>
          <w:rFonts w:eastAsiaTheme="minorHAnsi"/>
        </w:rPr>
      </w:pPr>
    </w:p>
    <w:p w14:paraId="6CB6429C" w14:textId="77777777" w:rsidR="004C6E5A" w:rsidRPr="004C6E5A" w:rsidRDefault="004C6E5A" w:rsidP="004C6E5A">
      <w:pPr>
        <w:pBdr>
          <w:top w:val="single" w:sz="12" w:space="1" w:color="auto"/>
          <w:left w:val="single" w:sz="12" w:space="4" w:color="auto"/>
          <w:bottom w:val="single" w:sz="12" w:space="1" w:color="auto"/>
          <w:right w:val="single" w:sz="12" w:space="4" w:color="auto"/>
        </w:pBdr>
        <w:autoSpaceDE w:val="0"/>
        <w:autoSpaceDN w:val="0"/>
        <w:adjustRightInd w:val="0"/>
        <w:rPr>
          <w:rFonts w:eastAsiaTheme="minorHAnsi"/>
          <w:color w:val="000000"/>
          <w:sz w:val="22"/>
          <w:szCs w:val="22"/>
        </w:rPr>
      </w:pPr>
      <w:r w:rsidRPr="004C6E5A">
        <w:rPr>
          <w:rFonts w:eastAsiaTheme="minorHAnsi"/>
          <w:b/>
          <w:bCs/>
          <w:color w:val="000000"/>
          <w:sz w:val="28"/>
          <w:szCs w:val="28"/>
        </w:rPr>
        <w:lastRenderedPageBreak/>
        <w:t>2 C</w:t>
      </w:r>
      <w:r w:rsidRPr="004C6E5A">
        <w:rPr>
          <w:rFonts w:eastAsiaTheme="minorHAnsi"/>
          <w:b/>
          <w:bCs/>
          <w:color w:val="000000"/>
          <w:sz w:val="22"/>
          <w:szCs w:val="22"/>
        </w:rPr>
        <w:t xml:space="preserve">OURSE </w:t>
      </w:r>
      <w:r w:rsidRPr="004C6E5A">
        <w:rPr>
          <w:rFonts w:eastAsiaTheme="minorHAnsi"/>
          <w:b/>
          <w:bCs/>
          <w:color w:val="000000"/>
          <w:sz w:val="28"/>
          <w:szCs w:val="28"/>
        </w:rPr>
        <w:t>O</w:t>
      </w:r>
      <w:r w:rsidRPr="004C6E5A">
        <w:rPr>
          <w:rFonts w:eastAsiaTheme="minorHAnsi"/>
          <w:b/>
          <w:bCs/>
          <w:color w:val="000000"/>
          <w:sz w:val="22"/>
          <w:szCs w:val="22"/>
        </w:rPr>
        <w:t xml:space="preserve">VERVIEW </w:t>
      </w:r>
    </w:p>
    <w:p w14:paraId="272647D8" w14:textId="77777777" w:rsidR="004C6E5A" w:rsidRDefault="004C6E5A" w:rsidP="00610A4C">
      <w:pPr>
        <w:rPr>
          <w:b/>
          <w:bCs/>
          <w:sz w:val="23"/>
          <w:szCs w:val="23"/>
        </w:rPr>
      </w:pPr>
      <w:r>
        <w:rPr>
          <w:b/>
          <w:bCs/>
          <w:sz w:val="23"/>
          <w:szCs w:val="23"/>
        </w:rPr>
        <w:t>2.1 Course Description</w:t>
      </w:r>
    </w:p>
    <w:p w14:paraId="029EF5FA" w14:textId="77777777" w:rsidR="004C6E5A" w:rsidRDefault="004C6E5A" w:rsidP="00610A4C"/>
    <w:p w14:paraId="274F1665" w14:textId="77777777" w:rsidR="009B0AF5" w:rsidRDefault="004C6E5A" w:rsidP="00882DF1">
      <w:pPr>
        <w:jc w:val="both"/>
      </w:pPr>
      <w:r w:rsidRPr="00FC6B72">
        <w:t>This course seeks to provide students with a relatively strong foundation in integration</w:t>
      </w:r>
      <w:r>
        <w:t xml:space="preserve"> theory</w:t>
      </w:r>
      <w:r w:rsidR="009B0AF5">
        <w:t>,</w:t>
      </w:r>
      <w:r>
        <w:t xml:space="preserve"> measurement and policy.</w:t>
      </w:r>
      <w:r w:rsidRPr="00FC6B72">
        <w:t xml:space="preserve"> The materials will be delivered via a series of face to face lectures and supported by structured tutorials. The course will discuss the critical theoretical concepts in integration developed by Balassa, Bhagwati, Panagariya, Cooper-</w:t>
      </w:r>
      <w:proofErr w:type="spellStart"/>
      <w:r w:rsidRPr="00FC6B72">
        <w:t>Mas</w:t>
      </w:r>
      <w:r w:rsidR="00882DF1">
        <w:t>s</w:t>
      </w:r>
      <w:r w:rsidR="009B0AF5">
        <w:t>ell</w:t>
      </w:r>
      <w:proofErr w:type="spellEnd"/>
      <w:r w:rsidR="009B0AF5">
        <w:t xml:space="preserve">. </w:t>
      </w:r>
    </w:p>
    <w:p w14:paraId="201AD85E" w14:textId="77777777" w:rsidR="009B0AF5" w:rsidRDefault="009B0AF5" w:rsidP="00882DF1">
      <w:pPr>
        <w:jc w:val="both"/>
      </w:pPr>
    </w:p>
    <w:p w14:paraId="40EB570E" w14:textId="77777777" w:rsidR="00882DF1" w:rsidRPr="004C6E5A" w:rsidRDefault="00882DF1" w:rsidP="00882DF1">
      <w:pPr>
        <w:jc w:val="both"/>
        <w:rPr>
          <w:sz w:val="23"/>
          <w:szCs w:val="23"/>
        </w:rPr>
      </w:pPr>
      <w:r w:rsidRPr="00FC6B72">
        <w:t>Economic Integration is a course that is no doubt aligned to the Department’s mission of delivering quality research and teaching of the economics of development for small island states as it focuses the case study aspect of the course on such economies. Even further than this</w:t>
      </w:r>
      <w:r w:rsidR="009B0AF5">
        <w:t>,</w:t>
      </w:r>
      <w:r w:rsidRPr="00FC6B72">
        <w:t xml:space="preserve"> it is expected that the mode of the delivery of the course material would allow for healthy discussions on region specific issues as it applies to the course.</w:t>
      </w:r>
    </w:p>
    <w:p w14:paraId="1F7783D0" w14:textId="77777777" w:rsidR="004C6E5A" w:rsidRDefault="004C6E5A" w:rsidP="00610A4C">
      <w:pPr>
        <w:rPr>
          <w:b/>
          <w:bCs/>
          <w:sz w:val="23"/>
          <w:szCs w:val="23"/>
        </w:rPr>
      </w:pPr>
    </w:p>
    <w:p w14:paraId="4708803A" w14:textId="77777777" w:rsidR="004C6E5A" w:rsidRDefault="004C6E5A" w:rsidP="00610A4C">
      <w:pPr>
        <w:rPr>
          <w:b/>
          <w:bCs/>
          <w:sz w:val="23"/>
          <w:szCs w:val="23"/>
        </w:rPr>
      </w:pPr>
      <w:r>
        <w:rPr>
          <w:b/>
          <w:bCs/>
          <w:sz w:val="23"/>
          <w:szCs w:val="23"/>
        </w:rPr>
        <w:t>2.2 Rationale</w:t>
      </w:r>
    </w:p>
    <w:p w14:paraId="2C2C1DB8" w14:textId="77777777" w:rsidR="00882DF1" w:rsidRDefault="00882DF1" w:rsidP="00882DF1">
      <w:pPr>
        <w:jc w:val="both"/>
      </w:pPr>
    </w:p>
    <w:p w14:paraId="337CDDDB" w14:textId="77777777" w:rsidR="00882DF1" w:rsidRPr="00E13A10" w:rsidRDefault="00882DF1" w:rsidP="00B73148">
      <w:pPr>
        <w:jc w:val="both"/>
      </w:pPr>
      <w:r w:rsidRPr="00E13A10">
        <w:t>The course exists so that students can better understand the fundament</w:t>
      </w:r>
      <w:r>
        <w:t xml:space="preserve">als of what regional integration </w:t>
      </w:r>
      <w:r w:rsidRPr="00E13A10">
        <w:t>is about particularly for small open economies like those in the Caribbean. International trade is an integral part of every country’s economy</w:t>
      </w:r>
      <w:r w:rsidR="009B0AF5">
        <w:t>. T</w:t>
      </w:r>
      <w:r w:rsidRPr="00E13A10">
        <w:t>hus it is important to understand the dynamics of what a country export</w:t>
      </w:r>
      <w:r>
        <w:t>s</w:t>
      </w:r>
      <w:r w:rsidRPr="00E13A10">
        <w:t xml:space="preserve"> and import</w:t>
      </w:r>
      <w:r>
        <w:t>s</w:t>
      </w:r>
      <w:r w:rsidRPr="00E13A10">
        <w:t xml:space="preserve"> and </w:t>
      </w:r>
      <w:r>
        <w:t>its relations with its trade partners</w:t>
      </w:r>
      <w:r w:rsidRPr="00E13A10">
        <w:t xml:space="preserve">. It is also important to grasp the interconnections between economies particularly as the world becomes more integrated. </w:t>
      </w:r>
    </w:p>
    <w:p w14:paraId="5857F55F" w14:textId="77777777" w:rsidR="00882DF1" w:rsidRDefault="00882DF1" w:rsidP="00B73148">
      <w:pPr>
        <w:jc w:val="both"/>
      </w:pPr>
    </w:p>
    <w:p w14:paraId="416D1D0C" w14:textId="77777777" w:rsidR="00882DF1" w:rsidRDefault="00882DF1" w:rsidP="00B73148">
      <w:pPr>
        <w:jc w:val="both"/>
        <w:rPr>
          <w:b/>
          <w:bCs/>
          <w:sz w:val="23"/>
          <w:szCs w:val="23"/>
        </w:rPr>
      </w:pPr>
      <w:r w:rsidRPr="00FC6B72">
        <w:t>The course offers practical interaction of theory via the case studies discussed in the classroom. Indeed such a course which is regional in scope is practical and useful to young economists in developing their knowledge base of the region.</w:t>
      </w:r>
      <w:r w:rsidR="00B73148">
        <w:rPr>
          <w:b/>
          <w:bCs/>
          <w:sz w:val="23"/>
          <w:szCs w:val="23"/>
        </w:rPr>
        <w:t xml:space="preserve"> </w:t>
      </w:r>
      <w:r w:rsidRPr="00FC6B72">
        <w:t xml:space="preserve">This is a third year undergraduate course and is geared to those students who have a general interest and affinity </w:t>
      </w:r>
      <w:r w:rsidR="009B0AF5">
        <w:t xml:space="preserve">for trade and </w:t>
      </w:r>
      <w:r>
        <w:t>economic integration</w:t>
      </w:r>
      <w:r w:rsidR="00B73148">
        <w:t xml:space="preserve"> issues</w:t>
      </w:r>
      <w:r>
        <w:t>.</w:t>
      </w:r>
    </w:p>
    <w:p w14:paraId="12001F8B" w14:textId="77777777" w:rsidR="00882DF1" w:rsidRDefault="00882DF1" w:rsidP="00610A4C">
      <w:pPr>
        <w:rPr>
          <w:b/>
          <w:bCs/>
          <w:sz w:val="23"/>
          <w:szCs w:val="23"/>
        </w:rPr>
      </w:pPr>
    </w:p>
    <w:p w14:paraId="29C6C43B" w14:textId="77777777" w:rsidR="004C6E5A" w:rsidRDefault="004C6E5A" w:rsidP="00610A4C">
      <w:pPr>
        <w:rPr>
          <w:b/>
          <w:bCs/>
          <w:sz w:val="23"/>
          <w:szCs w:val="23"/>
        </w:rPr>
      </w:pPr>
      <w:r>
        <w:rPr>
          <w:b/>
          <w:bCs/>
          <w:sz w:val="23"/>
          <w:szCs w:val="23"/>
        </w:rPr>
        <w:t>2.3 Aims/Goals</w:t>
      </w:r>
    </w:p>
    <w:p w14:paraId="4962CFC5" w14:textId="77777777" w:rsidR="004C6E5A" w:rsidRDefault="004C6E5A" w:rsidP="00610A4C">
      <w:pPr>
        <w:rPr>
          <w:b/>
          <w:bCs/>
          <w:sz w:val="23"/>
          <w:szCs w:val="23"/>
        </w:rPr>
      </w:pPr>
    </w:p>
    <w:p w14:paraId="6EC98537" w14:textId="77777777" w:rsidR="00B73148" w:rsidRDefault="00B73148" w:rsidP="00B73148">
      <w:pPr>
        <w:jc w:val="both"/>
      </w:pPr>
      <w:r w:rsidRPr="00FC6B72">
        <w:t>To equip students with an adequate set of</w:t>
      </w:r>
      <w:r>
        <w:t xml:space="preserve"> tools; theoretical and practical</w:t>
      </w:r>
      <w:r w:rsidRPr="00FC6B72">
        <w:t xml:space="preserve"> to understand </w:t>
      </w:r>
      <w:r w:rsidR="009B0AF5">
        <w:t xml:space="preserve">the dynamics of </w:t>
      </w:r>
      <w:r w:rsidRPr="00FC6B72">
        <w:t>regional trading blocs.</w:t>
      </w:r>
    </w:p>
    <w:p w14:paraId="44088837" w14:textId="77777777" w:rsidR="00B73148" w:rsidRDefault="00B73148" w:rsidP="00610A4C">
      <w:pPr>
        <w:rPr>
          <w:b/>
          <w:bCs/>
          <w:sz w:val="23"/>
          <w:szCs w:val="23"/>
        </w:rPr>
      </w:pPr>
    </w:p>
    <w:p w14:paraId="165E7BED" w14:textId="77777777" w:rsidR="004C6E5A" w:rsidRDefault="004C6E5A" w:rsidP="00610A4C">
      <w:pPr>
        <w:rPr>
          <w:b/>
          <w:bCs/>
          <w:sz w:val="23"/>
          <w:szCs w:val="23"/>
        </w:rPr>
      </w:pPr>
      <w:r>
        <w:rPr>
          <w:b/>
          <w:bCs/>
          <w:sz w:val="23"/>
          <w:szCs w:val="23"/>
        </w:rPr>
        <w:t>2.4 Learning Outcomes/Objectives</w:t>
      </w:r>
    </w:p>
    <w:p w14:paraId="41C4F3B0" w14:textId="77777777" w:rsidR="00B73148" w:rsidRPr="00B73148" w:rsidRDefault="00B73148" w:rsidP="00B73148">
      <w:pPr>
        <w:pStyle w:val="Heading3"/>
        <w:jc w:val="both"/>
        <w:rPr>
          <w:rFonts w:ascii="Times New Roman" w:hAnsi="Times New Roman" w:cs="Times New Roman"/>
          <w:b w:val="0"/>
          <w:color w:val="auto"/>
        </w:rPr>
      </w:pPr>
      <w:r>
        <w:rPr>
          <w:rFonts w:ascii="Times New Roman" w:hAnsi="Times New Roman" w:cs="Times New Roman"/>
          <w:b w:val="0"/>
          <w:color w:val="auto"/>
        </w:rPr>
        <w:t>At the end of this course, the</w:t>
      </w:r>
      <w:r w:rsidRPr="00B73148">
        <w:rPr>
          <w:rFonts w:ascii="Times New Roman" w:hAnsi="Times New Roman" w:cs="Times New Roman"/>
          <w:b w:val="0"/>
          <w:color w:val="auto"/>
        </w:rPr>
        <w:t xml:space="preserve"> students will be able to: </w:t>
      </w:r>
    </w:p>
    <w:p w14:paraId="3BC57071" w14:textId="77777777" w:rsidR="00B73148" w:rsidRPr="00FC6B72" w:rsidRDefault="00B73148" w:rsidP="00B73148">
      <w:pPr>
        <w:numPr>
          <w:ilvl w:val="0"/>
          <w:numId w:val="3"/>
        </w:numPr>
        <w:jc w:val="both"/>
      </w:pPr>
      <w:r w:rsidRPr="00FC6B72">
        <w:t>Demonstrate an appreciation for the regional inte</w:t>
      </w:r>
      <w:r w:rsidR="009B0AF5">
        <w:t>gration issues as it affects</w:t>
      </w:r>
      <w:r w:rsidRPr="00FC6B72">
        <w:t xml:space="preserve"> Caribbean development. </w:t>
      </w:r>
    </w:p>
    <w:p w14:paraId="20778029" w14:textId="77777777" w:rsidR="00B73148" w:rsidRDefault="00B73148" w:rsidP="00610A4C">
      <w:pPr>
        <w:numPr>
          <w:ilvl w:val="0"/>
          <w:numId w:val="3"/>
        </w:numPr>
        <w:jc w:val="both"/>
      </w:pPr>
      <w:r w:rsidRPr="00FC6B72">
        <w:t xml:space="preserve">Demonstrate an appreciation for discussions on regional integration and trade related challenges facing the Caribbean region. </w:t>
      </w:r>
    </w:p>
    <w:p w14:paraId="237C67F5" w14:textId="77777777" w:rsidR="00324C25" w:rsidRDefault="00324C25" w:rsidP="00324C25">
      <w:pPr>
        <w:jc w:val="both"/>
      </w:pPr>
    </w:p>
    <w:p w14:paraId="76ACEB48" w14:textId="77777777" w:rsidR="00324C25" w:rsidRDefault="00324C25" w:rsidP="00324C25">
      <w:pPr>
        <w:jc w:val="both"/>
      </w:pPr>
    </w:p>
    <w:p w14:paraId="62CB1BB8" w14:textId="77777777" w:rsidR="00324C25" w:rsidRDefault="00324C25" w:rsidP="00324C25">
      <w:pPr>
        <w:jc w:val="both"/>
      </w:pPr>
    </w:p>
    <w:p w14:paraId="24F357B5" w14:textId="77777777" w:rsidR="00324C25" w:rsidRDefault="00324C25" w:rsidP="00324C25">
      <w:pPr>
        <w:jc w:val="both"/>
      </w:pPr>
    </w:p>
    <w:p w14:paraId="267889E1" w14:textId="77777777" w:rsidR="00324C25" w:rsidRPr="00B73148" w:rsidRDefault="00324C25" w:rsidP="00324C25">
      <w:pPr>
        <w:jc w:val="both"/>
      </w:pPr>
    </w:p>
    <w:p w14:paraId="794E4F62" w14:textId="77777777" w:rsidR="00B73148" w:rsidRDefault="00B73148" w:rsidP="00610A4C">
      <w:pPr>
        <w:rPr>
          <w:b/>
          <w:bCs/>
          <w:sz w:val="23"/>
          <w:szCs w:val="23"/>
        </w:rPr>
      </w:pPr>
    </w:p>
    <w:p w14:paraId="4C4849DA" w14:textId="77777777" w:rsidR="004C6E5A" w:rsidRDefault="004C6E5A" w:rsidP="004C6E5A">
      <w:pPr>
        <w:rPr>
          <w:b/>
          <w:bCs/>
          <w:sz w:val="23"/>
          <w:szCs w:val="23"/>
        </w:rPr>
      </w:pPr>
      <w:r>
        <w:rPr>
          <w:b/>
          <w:bCs/>
          <w:sz w:val="23"/>
          <w:szCs w:val="23"/>
        </w:rPr>
        <w:t>2.5 Learning Outcomes Guide</w:t>
      </w:r>
    </w:p>
    <w:p w14:paraId="0C4615BA" w14:textId="77777777" w:rsidR="004C6E5A" w:rsidRDefault="004C6E5A" w:rsidP="00610A4C">
      <w:pPr>
        <w:rPr>
          <w:b/>
          <w:bCs/>
          <w:sz w:val="23"/>
          <w:szCs w:val="23"/>
        </w:rPr>
      </w:pPr>
    </w:p>
    <w:tbl>
      <w:tblPr>
        <w:tblStyle w:val="TableGrid"/>
        <w:tblW w:w="9558" w:type="dxa"/>
        <w:tblLayout w:type="fixed"/>
        <w:tblLook w:val="04A0" w:firstRow="1" w:lastRow="0" w:firstColumn="1" w:lastColumn="0" w:noHBand="0" w:noVBand="1"/>
      </w:tblPr>
      <w:tblGrid>
        <w:gridCol w:w="4518"/>
        <w:gridCol w:w="1890"/>
        <w:gridCol w:w="1800"/>
        <w:gridCol w:w="1350"/>
      </w:tblGrid>
      <w:tr w:rsidR="00241DE9" w14:paraId="61F86157" w14:textId="77777777" w:rsidTr="00AB09CA">
        <w:trPr>
          <w:trHeight w:val="593"/>
        </w:trPr>
        <w:tc>
          <w:tcPr>
            <w:tcW w:w="4518" w:type="dxa"/>
          </w:tcPr>
          <w:p w14:paraId="77BC38C3" w14:textId="77777777" w:rsidR="00B73148" w:rsidRPr="00241DE9" w:rsidRDefault="00B73148" w:rsidP="00B73148">
            <w:pPr>
              <w:pStyle w:val="Default"/>
              <w:rPr>
                <w:sz w:val="22"/>
                <w:szCs w:val="22"/>
              </w:rPr>
            </w:pPr>
            <w:r w:rsidRPr="00241DE9">
              <w:rPr>
                <w:b/>
                <w:bCs/>
                <w:sz w:val="22"/>
                <w:szCs w:val="22"/>
              </w:rPr>
              <w:t xml:space="preserve">Upon successful completion of ECON 3020, students will be able to: </w:t>
            </w:r>
          </w:p>
        </w:tc>
        <w:tc>
          <w:tcPr>
            <w:tcW w:w="1890" w:type="dxa"/>
          </w:tcPr>
          <w:p w14:paraId="0ADA99E3" w14:textId="77777777" w:rsidR="00B73148" w:rsidRPr="00241DE9" w:rsidRDefault="00B73148" w:rsidP="00B73148">
            <w:pPr>
              <w:pStyle w:val="Default"/>
              <w:rPr>
                <w:sz w:val="22"/>
                <w:szCs w:val="22"/>
              </w:rPr>
            </w:pPr>
            <w:r w:rsidRPr="00241DE9">
              <w:rPr>
                <w:b/>
                <w:bCs/>
                <w:sz w:val="22"/>
                <w:szCs w:val="22"/>
              </w:rPr>
              <w:t xml:space="preserve">Cognitive Domain </w:t>
            </w:r>
          </w:p>
          <w:p w14:paraId="7F4E557B" w14:textId="77777777" w:rsidR="00B73148" w:rsidRPr="00241DE9" w:rsidRDefault="00B73148" w:rsidP="004C6E5A">
            <w:pPr>
              <w:rPr>
                <w:sz w:val="22"/>
                <w:szCs w:val="22"/>
              </w:rPr>
            </w:pPr>
          </w:p>
        </w:tc>
        <w:tc>
          <w:tcPr>
            <w:tcW w:w="1800" w:type="dxa"/>
          </w:tcPr>
          <w:p w14:paraId="7B323C7A" w14:textId="77777777" w:rsidR="00B73148" w:rsidRPr="00241DE9" w:rsidRDefault="00B73148" w:rsidP="00B73148">
            <w:pPr>
              <w:pStyle w:val="Default"/>
              <w:rPr>
                <w:sz w:val="22"/>
                <w:szCs w:val="22"/>
              </w:rPr>
            </w:pPr>
            <w:r w:rsidRPr="00241DE9">
              <w:rPr>
                <w:b/>
                <w:bCs/>
                <w:sz w:val="22"/>
                <w:szCs w:val="22"/>
              </w:rPr>
              <w:t xml:space="preserve">Psychomotor </w:t>
            </w:r>
          </w:p>
          <w:p w14:paraId="51470AA2" w14:textId="77777777" w:rsidR="00B73148" w:rsidRPr="00241DE9" w:rsidRDefault="00B73148" w:rsidP="00B73148">
            <w:pPr>
              <w:rPr>
                <w:rFonts w:ascii="Bookman Old Style" w:hAnsi="Bookman Old Style"/>
                <w:sz w:val="22"/>
                <w:szCs w:val="22"/>
              </w:rPr>
            </w:pPr>
            <w:r w:rsidRPr="00241DE9">
              <w:rPr>
                <w:rFonts w:ascii="Bookman Old Style" w:hAnsi="Bookman Old Style"/>
                <w:b/>
                <w:bCs/>
                <w:sz w:val="22"/>
                <w:szCs w:val="22"/>
              </w:rPr>
              <w:t xml:space="preserve">Domain </w:t>
            </w:r>
          </w:p>
        </w:tc>
        <w:tc>
          <w:tcPr>
            <w:tcW w:w="1350" w:type="dxa"/>
          </w:tcPr>
          <w:p w14:paraId="2D6FBB80" w14:textId="77777777" w:rsidR="00B73148" w:rsidRPr="00241DE9" w:rsidRDefault="00B73148" w:rsidP="00B73148">
            <w:pPr>
              <w:pStyle w:val="Default"/>
              <w:rPr>
                <w:sz w:val="22"/>
                <w:szCs w:val="22"/>
              </w:rPr>
            </w:pPr>
            <w:r w:rsidRPr="00241DE9">
              <w:rPr>
                <w:b/>
                <w:bCs/>
                <w:sz w:val="22"/>
                <w:szCs w:val="22"/>
              </w:rPr>
              <w:t xml:space="preserve">Affective Domain </w:t>
            </w:r>
          </w:p>
          <w:p w14:paraId="3278DE64" w14:textId="77777777" w:rsidR="00B73148" w:rsidRPr="00241DE9" w:rsidRDefault="00B73148" w:rsidP="004C6E5A">
            <w:pPr>
              <w:rPr>
                <w:sz w:val="22"/>
                <w:szCs w:val="22"/>
              </w:rPr>
            </w:pPr>
          </w:p>
        </w:tc>
      </w:tr>
      <w:tr w:rsidR="00241DE9" w:rsidRPr="00241DE9" w14:paraId="18D62F9D" w14:textId="77777777" w:rsidTr="00AB09CA">
        <w:tc>
          <w:tcPr>
            <w:tcW w:w="4518" w:type="dxa"/>
          </w:tcPr>
          <w:p w14:paraId="10BB3D98" w14:textId="77777777" w:rsidR="00B73148" w:rsidRPr="00AB09CA" w:rsidRDefault="00B73148" w:rsidP="009B0AF5">
            <w:pPr>
              <w:jc w:val="both"/>
              <w:rPr>
                <w:rFonts w:ascii="Bookman Old Style" w:hAnsi="Bookman Old Style"/>
                <w:sz w:val="20"/>
              </w:rPr>
            </w:pPr>
            <w:r w:rsidRPr="00AB09CA">
              <w:rPr>
                <w:rFonts w:ascii="Bookman Old Style" w:hAnsi="Bookman Old Style"/>
                <w:sz w:val="20"/>
              </w:rPr>
              <w:t xml:space="preserve">Demonstrate an appreciation for the regional integration issues as it affects the Caribbean development. </w:t>
            </w:r>
          </w:p>
        </w:tc>
        <w:tc>
          <w:tcPr>
            <w:tcW w:w="1890" w:type="dxa"/>
          </w:tcPr>
          <w:p w14:paraId="7A36B4C6" w14:textId="77777777" w:rsidR="00B73148" w:rsidRPr="00AB09CA" w:rsidRDefault="00241DE9" w:rsidP="004C6E5A">
            <w:pPr>
              <w:rPr>
                <w:rFonts w:ascii="Bookman Old Style" w:hAnsi="Bookman Old Style"/>
                <w:sz w:val="20"/>
              </w:rPr>
            </w:pPr>
            <w:r w:rsidRPr="00AB09CA">
              <w:rPr>
                <w:rFonts w:ascii="Bookman Old Style" w:hAnsi="Bookman Old Style"/>
                <w:sz w:val="20"/>
              </w:rPr>
              <w:t>Knowledge, Comprehension</w:t>
            </w:r>
            <w:r w:rsidR="00B73148" w:rsidRPr="00AB09CA">
              <w:rPr>
                <w:rFonts w:ascii="Bookman Old Style" w:hAnsi="Bookman Old Style"/>
                <w:sz w:val="20"/>
              </w:rPr>
              <w:t xml:space="preserve"> </w:t>
            </w:r>
          </w:p>
        </w:tc>
        <w:tc>
          <w:tcPr>
            <w:tcW w:w="1800" w:type="dxa"/>
          </w:tcPr>
          <w:p w14:paraId="1FC217DA" w14:textId="77777777" w:rsidR="00241DE9" w:rsidRPr="00AB09CA" w:rsidRDefault="00241DE9" w:rsidP="00241DE9">
            <w:pPr>
              <w:pStyle w:val="Default"/>
              <w:rPr>
                <w:rFonts w:cs="Times New Roman"/>
                <w:sz w:val="20"/>
              </w:rPr>
            </w:pPr>
            <w:r w:rsidRPr="00AB09CA">
              <w:rPr>
                <w:rFonts w:cs="Times New Roman"/>
                <w:sz w:val="20"/>
              </w:rPr>
              <w:t xml:space="preserve">Articulation </w:t>
            </w:r>
          </w:p>
          <w:p w14:paraId="7419CCDA" w14:textId="77777777" w:rsidR="00B73148" w:rsidRPr="00AB09CA" w:rsidRDefault="00B73148" w:rsidP="004C6E5A">
            <w:pPr>
              <w:rPr>
                <w:rFonts w:ascii="Bookman Old Style" w:hAnsi="Bookman Old Style"/>
                <w:sz w:val="20"/>
              </w:rPr>
            </w:pPr>
          </w:p>
        </w:tc>
        <w:tc>
          <w:tcPr>
            <w:tcW w:w="1350" w:type="dxa"/>
          </w:tcPr>
          <w:p w14:paraId="1CD4AC0D" w14:textId="77777777" w:rsidR="00241DE9" w:rsidRPr="00AB09CA" w:rsidRDefault="00241DE9" w:rsidP="00241DE9">
            <w:pPr>
              <w:pStyle w:val="Default"/>
              <w:rPr>
                <w:rFonts w:cs="Times New Roman"/>
                <w:sz w:val="20"/>
              </w:rPr>
            </w:pPr>
            <w:r w:rsidRPr="00AB09CA">
              <w:rPr>
                <w:rFonts w:cs="Times New Roman"/>
                <w:sz w:val="20"/>
              </w:rPr>
              <w:t xml:space="preserve">Valuing </w:t>
            </w:r>
          </w:p>
          <w:p w14:paraId="25D93515" w14:textId="77777777" w:rsidR="00B73148" w:rsidRPr="00AB09CA" w:rsidRDefault="00B73148" w:rsidP="004C6E5A">
            <w:pPr>
              <w:rPr>
                <w:rFonts w:ascii="Bookman Old Style" w:hAnsi="Bookman Old Style"/>
                <w:sz w:val="20"/>
              </w:rPr>
            </w:pPr>
          </w:p>
        </w:tc>
      </w:tr>
      <w:tr w:rsidR="00241DE9" w:rsidRPr="00241DE9" w14:paraId="7CA1838C" w14:textId="77777777" w:rsidTr="00AB09CA">
        <w:tc>
          <w:tcPr>
            <w:tcW w:w="4518" w:type="dxa"/>
          </w:tcPr>
          <w:p w14:paraId="6BED4A5D" w14:textId="77777777" w:rsidR="00B73148" w:rsidRPr="009B0AF5" w:rsidRDefault="00B73148" w:rsidP="009B0AF5">
            <w:pPr>
              <w:jc w:val="both"/>
              <w:rPr>
                <w:rFonts w:ascii="Bookman Old Style" w:hAnsi="Bookman Old Style"/>
                <w:sz w:val="20"/>
              </w:rPr>
            </w:pPr>
            <w:r w:rsidRPr="009B0AF5">
              <w:rPr>
                <w:rFonts w:ascii="Bookman Old Style" w:hAnsi="Bookman Old Style"/>
                <w:sz w:val="20"/>
              </w:rPr>
              <w:t xml:space="preserve">Demonstrate an appreciation for discussions on regional integration and trade related challenges facing the Caribbean region. </w:t>
            </w:r>
          </w:p>
        </w:tc>
        <w:tc>
          <w:tcPr>
            <w:tcW w:w="1890" w:type="dxa"/>
          </w:tcPr>
          <w:p w14:paraId="094AB1B2" w14:textId="77777777" w:rsidR="00B73148" w:rsidRPr="00AB09CA" w:rsidRDefault="00241DE9" w:rsidP="004C6E5A">
            <w:pPr>
              <w:rPr>
                <w:rFonts w:ascii="Bookman Old Style" w:hAnsi="Bookman Old Style"/>
                <w:sz w:val="20"/>
              </w:rPr>
            </w:pPr>
            <w:r w:rsidRPr="00AB09CA">
              <w:rPr>
                <w:rFonts w:ascii="Bookman Old Style" w:hAnsi="Bookman Old Style"/>
                <w:sz w:val="20"/>
              </w:rPr>
              <w:t xml:space="preserve">Application, Analysis, critical thinking </w:t>
            </w:r>
          </w:p>
        </w:tc>
        <w:tc>
          <w:tcPr>
            <w:tcW w:w="1800" w:type="dxa"/>
          </w:tcPr>
          <w:p w14:paraId="118FC053" w14:textId="77777777" w:rsidR="00241DE9" w:rsidRPr="00AB09CA" w:rsidRDefault="00241DE9" w:rsidP="00241DE9">
            <w:pPr>
              <w:pStyle w:val="Default"/>
              <w:rPr>
                <w:rFonts w:cs="Times New Roman"/>
                <w:sz w:val="20"/>
              </w:rPr>
            </w:pPr>
            <w:r w:rsidRPr="00AB09CA">
              <w:rPr>
                <w:rFonts w:cs="Times New Roman"/>
                <w:sz w:val="20"/>
              </w:rPr>
              <w:t xml:space="preserve">Articulation </w:t>
            </w:r>
          </w:p>
          <w:p w14:paraId="52D1EEA4" w14:textId="77777777" w:rsidR="00B73148" w:rsidRPr="00AB09CA" w:rsidRDefault="00B73148" w:rsidP="004C6E5A">
            <w:pPr>
              <w:rPr>
                <w:rFonts w:ascii="Bookman Old Style" w:hAnsi="Bookman Old Style"/>
                <w:sz w:val="20"/>
              </w:rPr>
            </w:pPr>
          </w:p>
        </w:tc>
        <w:tc>
          <w:tcPr>
            <w:tcW w:w="1350" w:type="dxa"/>
          </w:tcPr>
          <w:p w14:paraId="5ABCF626" w14:textId="77777777" w:rsidR="00241DE9" w:rsidRPr="00AB09CA" w:rsidRDefault="00241DE9" w:rsidP="00241DE9">
            <w:pPr>
              <w:pStyle w:val="Default"/>
              <w:rPr>
                <w:rFonts w:cs="Times New Roman"/>
                <w:sz w:val="20"/>
              </w:rPr>
            </w:pPr>
            <w:r w:rsidRPr="00AB09CA">
              <w:rPr>
                <w:rFonts w:cs="Times New Roman"/>
                <w:sz w:val="20"/>
              </w:rPr>
              <w:t xml:space="preserve">Valuing </w:t>
            </w:r>
          </w:p>
          <w:p w14:paraId="1E3BF137" w14:textId="77777777" w:rsidR="00B73148" w:rsidRPr="00AB09CA" w:rsidRDefault="00B73148" w:rsidP="004C6E5A">
            <w:pPr>
              <w:rPr>
                <w:rFonts w:ascii="Bookman Old Style" w:hAnsi="Bookman Old Style"/>
                <w:sz w:val="20"/>
              </w:rPr>
            </w:pPr>
          </w:p>
        </w:tc>
      </w:tr>
    </w:tbl>
    <w:p w14:paraId="5B409761" w14:textId="77777777" w:rsidR="004C6E5A" w:rsidRPr="004C6E5A" w:rsidRDefault="004C6E5A" w:rsidP="004C6E5A">
      <w:pPr>
        <w:rPr>
          <w:sz w:val="23"/>
          <w:szCs w:val="23"/>
        </w:rPr>
      </w:pPr>
    </w:p>
    <w:p w14:paraId="57FC5873" w14:textId="77777777" w:rsidR="004C6E5A" w:rsidRDefault="00241DE9" w:rsidP="004C6E5A">
      <w:pPr>
        <w:rPr>
          <w:b/>
          <w:bCs/>
          <w:sz w:val="23"/>
          <w:szCs w:val="23"/>
        </w:rPr>
      </w:pPr>
      <w:r>
        <w:rPr>
          <w:b/>
          <w:bCs/>
          <w:sz w:val="23"/>
          <w:szCs w:val="23"/>
        </w:rPr>
        <w:t>2.6 Course-to-</w:t>
      </w:r>
      <w:proofErr w:type="spellStart"/>
      <w:r>
        <w:rPr>
          <w:b/>
          <w:bCs/>
          <w:sz w:val="23"/>
          <w:szCs w:val="23"/>
        </w:rPr>
        <w:t>Programme</w:t>
      </w:r>
      <w:proofErr w:type="spellEnd"/>
      <w:r>
        <w:rPr>
          <w:b/>
          <w:bCs/>
          <w:sz w:val="23"/>
          <w:szCs w:val="23"/>
        </w:rPr>
        <w:t xml:space="preserve"> Learning Outcomes Checklist</w:t>
      </w:r>
    </w:p>
    <w:p w14:paraId="06DA296B" w14:textId="77777777" w:rsidR="000A7C14" w:rsidRDefault="000A7C14" w:rsidP="004C6E5A">
      <w:pPr>
        <w:rPr>
          <w:b/>
          <w:bCs/>
          <w:sz w:val="23"/>
          <w:szCs w:val="23"/>
        </w:rPr>
      </w:pPr>
    </w:p>
    <w:tbl>
      <w:tblPr>
        <w:tblStyle w:val="TableGrid"/>
        <w:tblW w:w="10435" w:type="dxa"/>
        <w:jc w:val="center"/>
        <w:tblLook w:val="04A0" w:firstRow="1" w:lastRow="0" w:firstColumn="1" w:lastColumn="0" w:noHBand="0" w:noVBand="1"/>
      </w:tblPr>
      <w:tblGrid>
        <w:gridCol w:w="6873"/>
        <w:gridCol w:w="3562"/>
      </w:tblGrid>
      <w:tr w:rsidR="000A7C14" w14:paraId="61AC1C96" w14:textId="77777777" w:rsidTr="00AD31C7">
        <w:trPr>
          <w:jc w:val="center"/>
        </w:trPr>
        <w:tc>
          <w:tcPr>
            <w:tcW w:w="6873" w:type="dxa"/>
          </w:tcPr>
          <w:p w14:paraId="7A73A816" w14:textId="77777777" w:rsidR="000A7C14" w:rsidRDefault="000A7C14" w:rsidP="000A7C14">
            <w:pPr>
              <w:pStyle w:val="Default"/>
              <w:jc w:val="center"/>
              <w:rPr>
                <w:sz w:val="23"/>
                <w:szCs w:val="23"/>
              </w:rPr>
            </w:pPr>
            <w:proofErr w:type="spellStart"/>
            <w:r>
              <w:rPr>
                <w:b/>
                <w:bCs/>
                <w:sz w:val="23"/>
                <w:szCs w:val="23"/>
              </w:rPr>
              <w:t>Programme</w:t>
            </w:r>
            <w:proofErr w:type="spellEnd"/>
            <w:r>
              <w:rPr>
                <w:b/>
                <w:bCs/>
                <w:sz w:val="23"/>
                <w:szCs w:val="23"/>
              </w:rPr>
              <w:t xml:space="preserve"> Level Learning Outcomes</w:t>
            </w:r>
          </w:p>
          <w:p w14:paraId="4204595D" w14:textId="77777777" w:rsidR="000A7C14" w:rsidRDefault="000A7C14" w:rsidP="000A7C14">
            <w:pPr>
              <w:pStyle w:val="Default"/>
              <w:rPr>
                <w:sz w:val="23"/>
                <w:szCs w:val="23"/>
              </w:rPr>
            </w:pPr>
            <w:r>
              <w:rPr>
                <w:b/>
                <w:bCs/>
                <w:sz w:val="23"/>
                <w:szCs w:val="23"/>
              </w:rPr>
              <w:t xml:space="preserve">At the end of the </w:t>
            </w:r>
            <w:proofErr w:type="spellStart"/>
            <w:r>
              <w:rPr>
                <w:b/>
                <w:bCs/>
                <w:sz w:val="23"/>
                <w:szCs w:val="23"/>
              </w:rPr>
              <w:t>programme</w:t>
            </w:r>
            <w:proofErr w:type="spellEnd"/>
            <w:r>
              <w:rPr>
                <w:b/>
                <w:bCs/>
                <w:sz w:val="23"/>
                <w:szCs w:val="23"/>
              </w:rPr>
              <w:t xml:space="preserve"> students will be able to: </w:t>
            </w:r>
          </w:p>
        </w:tc>
        <w:tc>
          <w:tcPr>
            <w:tcW w:w="3562" w:type="dxa"/>
          </w:tcPr>
          <w:p w14:paraId="3BE52AEA" w14:textId="77777777" w:rsidR="000A7C14" w:rsidRDefault="000A7C14" w:rsidP="000A7C14">
            <w:pPr>
              <w:pStyle w:val="Default"/>
              <w:rPr>
                <w:sz w:val="23"/>
                <w:szCs w:val="23"/>
              </w:rPr>
            </w:pPr>
            <w:r>
              <w:rPr>
                <w:b/>
                <w:bCs/>
                <w:sz w:val="23"/>
                <w:szCs w:val="23"/>
              </w:rPr>
              <w:t xml:space="preserve">LOs applicable to Course ECON 3020 </w:t>
            </w:r>
          </w:p>
        </w:tc>
      </w:tr>
      <w:tr w:rsidR="000A7C14" w14:paraId="18BEA7D7" w14:textId="77777777" w:rsidTr="00AD31C7">
        <w:trPr>
          <w:jc w:val="center"/>
        </w:trPr>
        <w:tc>
          <w:tcPr>
            <w:tcW w:w="6873" w:type="dxa"/>
            <w:shd w:val="clear" w:color="auto" w:fill="BFBFBF" w:themeFill="background1" w:themeFillShade="BF"/>
          </w:tcPr>
          <w:p w14:paraId="22D18E92" w14:textId="77777777" w:rsidR="000A7C14" w:rsidRPr="000A7C14" w:rsidRDefault="000A7C14" w:rsidP="000A7C14">
            <w:pPr>
              <w:pStyle w:val="Default"/>
              <w:rPr>
                <w:b/>
                <w:sz w:val="23"/>
                <w:szCs w:val="23"/>
              </w:rPr>
            </w:pPr>
            <w:r w:rsidRPr="000A7C14">
              <w:rPr>
                <w:b/>
                <w:sz w:val="23"/>
                <w:szCs w:val="23"/>
              </w:rPr>
              <w:t xml:space="preserve">Knowledge Level </w:t>
            </w:r>
          </w:p>
        </w:tc>
        <w:tc>
          <w:tcPr>
            <w:tcW w:w="3562" w:type="dxa"/>
            <w:shd w:val="clear" w:color="auto" w:fill="BFBFBF" w:themeFill="background1" w:themeFillShade="BF"/>
          </w:tcPr>
          <w:p w14:paraId="5C5735FA" w14:textId="77777777" w:rsidR="000A7C14" w:rsidRDefault="009B0AF5" w:rsidP="004C6E5A">
            <w:pPr>
              <w:rPr>
                <w:sz w:val="23"/>
                <w:szCs w:val="23"/>
              </w:rPr>
            </w:pPr>
            <w:r>
              <w:rPr>
                <w:sz w:val="23"/>
                <w:szCs w:val="23"/>
              </w:rPr>
              <w:t>Students will be able to recall and reproduce the material they have been exposed to</w:t>
            </w:r>
          </w:p>
        </w:tc>
      </w:tr>
      <w:tr w:rsidR="000A7C14" w14:paraId="7E39D7EB" w14:textId="77777777" w:rsidTr="00AD31C7">
        <w:trPr>
          <w:jc w:val="center"/>
        </w:trPr>
        <w:tc>
          <w:tcPr>
            <w:tcW w:w="6873" w:type="dxa"/>
          </w:tcPr>
          <w:p w14:paraId="6539ABC9" w14:textId="77777777" w:rsidR="000A7C14" w:rsidRDefault="000A7C14" w:rsidP="004C6E5A">
            <w:pPr>
              <w:rPr>
                <w:sz w:val="23"/>
                <w:szCs w:val="23"/>
              </w:rPr>
            </w:pPr>
          </w:p>
        </w:tc>
        <w:tc>
          <w:tcPr>
            <w:tcW w:w="3562" w:type="dxa"/>
          </w:tcPr>
          <w:p w14:paraId="70801F33" w14:textId="77777777" w:rsidR="000A7C14" w:rsidRDefault="000A7C14" w:rsidP="004C6E5A">
            <w:pPr>
              <w:rPr>
                <w:sz w:val="23"/>
                <w:szCs w:val="23"/>
              </w:rPr>
            </w:pPr>
          </w:p>
        </w:tc>
      </w:tr>
      <w:tr w:rsidR="000A7C14" w14:paraId="15969F58" w14:textId="77777777" w:rsidTr="00AD31C7">
        <w:trPr>
          <w:jc w:val="center"/>
        </w:trPr>
        <w:tc>
          <w:tcPr>
            <w:tcW w:w="6873" w:type="dxa"/>
            <w:shd w:val="clear" w:color="auto" w:fill="BFBFBF" w:themeFill="background1" w:themeFillShade="BF"/>
          </w:tcPr>
          <w:p w14:paraId="0C1D3DE6" w14:textId="77777777" w:rsidR="000A7C14" w:rsidRDefault="000A7C14" w:rsidP="000A7C14">
            <w:pPr>
              <w:pStyle w:val="Default"/>
              <w:rPr>
                <w:sz w:val="23"/>
                <w:szCs w:val="23"/>
              </w:rPr>
            </w:pPr>
            <w:r>
              <w:rPr>
                <w:b/>
                <w:bCs/>
                <w:sz w:val="23"/>
                <w:szCs w:val="23"/>
              </w:rPr>
              <w:t xml:space="preserve">Skill/Competence Level </w:t>
            </w:r>
          </w:p>
        </w:tc>
        <w:tc>
          <w:tcPr>
            <w:tcW w:w="3562" w:type="dxa"/>
            <w:shd w:val="clear" w:color="auto" w:fill="BFBFBF" w:themeFill="background1" w:themeFillShade="BF"/>
          </w:tcPr>
          <w:p w14:paraId="58DC46D8" w14:textId="77777777" w:rsidR="000A7C14" w:rsidRDefault="009B0AF5" w:rsidP="009B0AF5">
            <w:pPr>
              <w:rPr>
                <w:sz w:val="23"/>
                <w:szCs w:val="23"/>
              </w:rPr>
            </w:pPr>
            <w:r>
              <w:rPr>
                <w:sz w:val="23"/>
                <w:szCs w:val="23"/>
              </w:rPr>
              <w:t>Students will be able to interpret the material they have been exposed to</w:t>
            </w:r>
          </w:p>
        </w:tc>
      </w:tr>
      <w:tr w:rsidR="000A7C14" w14:paraId="0870104A" w14:textId="77777777" w:rsidTr="00AD31C7">
        <w:trPr>
          <w:jc w:val="center"/>
        </w:trPr>
        <w:tc>
          <w:tcPr>
            <w:tcW w:w="6873" w:type="dxa"/>
          </w:tcPr>
          <w:p w14:paraId="4E6BA266" w14:textId="77777777" w:rsidR="000A7C14" w:rsidRDefault="000A7C14" w:rsidP="004C6E5A">
            <w:pPr>
              <w:rPr>
                <w:sz w:val="23"/>
                <w:szCs w:val="23"/>
              </w:rPr>
            </w:pPr>
          </w:p>
        </w:tc>
        <w:tc>
          <w:tcPr>
            <w:tcW w:w="3562" w:type="dxa"/>
          </w:tcPr>
          <w:p w14:paraId="1241FC13" w14:textId="77777777" w:rsidR="000A7C14" w:rsidRDefault="000A7C14" w:rsidP="004C6E5A">
            <w:pPr>
              <w:rPr>
                <w:sz w:val="23"/>
                <w:szCs w:val="23"/>
              </w:rPr>
            </w:pPr>
          </w:p>
        </w:tc>
      </w:tr>
      <w:tr w:rsidR="000A7C14" w14:paraId="532AA798" w14:textId="77777777" w:rsidTr="00AD31C7">
        <w:trPr>
          <w:jc w:val="center"/>
        </w:trPr>
        <w:tc>
          <w:tcPr>
            <w:tcW w:w="6873" w:type="dxa"/>
            <w:shd w:val="clear" w:color="auto" w:fill="BFBFBF" w:themeFill="background1" w:themeFillShade="BF"/>
          </w:tcPr>
          <w:p w14:paraId="4E2DA0E0" w14:textId="77777777" w:rsidR="000A7C14" w:rsidRPr="009C30E8" w:rsidRDefault="009C30E8" w:rsidP="009C30E8">
            <w:pPr>
              <w:pStyle w:val="Default"/>
              <w:rPr>
                <w:b/>
                <w:sz w:val="23"/>
                <w:szCs w:val="23"/>
              </w:rPr>
            </w:pPr>
            <w:r w:rsidRPr="009C30E8">
              <w:rPr>
                <w:b/>
                <w:sz w:val="23"/>
                <w:szCs w:val="23"/>
              </w:rPr>
              <w:t xml:space="preserve">Professional Competence/Attitude/Personal Characteristics/Affect </w:t>
            </w:r>
          </w:p>
        </w:tc>
        <w:tc>
          <w:tcPr>
            <w:tcW w:w="3562" w:type="dxa"/>
            <w:shd w:val="clear" w:color="auto" w:fill="BFBFBF" w:themeFill="background1" w:themeFillShade="BF"/>
          </w:tcPr>
          <w:p w14:paraId="4781A1D8" w14:textId="77777777" w:rsidR="000A7C14" w:rsidRDefault="009B0AF5" w:rsidP="004C6E5A">
            <w:pPr>
              <w:rPr>
                <w:sz w:val="23"/>
                <w:szCs w:val="23"/>
              </w:rPr>
            </w:pPr>
            <w:r>
              <w:rPr>
                <w:sz w:val="23"/>
                <w:szCs w:val="23"/>
              </w:rPr>
              <w:t>Students will be able to apply the theories to specific case studies and current Caribbean realities.</w:t>
            </w:r>
          </w:p>
        </w:tc>
      </w:tr>
      <w:tr w:rsidR="000A7C14" w14:paraId="1C38290A" w14:textId="77777777" w:rsidTr="00AD31C7">
        <w:trPr>
          <w:jc w:val="center"/>
        </w:trPr>
        <w:tc>
          <w:tcPr>
            <w:tcW w:w="6873" w:type="dxa"/>
          </w:tcPr>
          <w:p w14:paraId="266C610A" w14:textId="77777777" w:rsidR="000A7C14" w:rsidRDefault="000A7C14" w:rsidP="004C6E5A">
            <w:pPr>
              <w:rPr>
                <w:sz w:val="23"/>
                <w:szCs w:val="23"/>
              </w:rPr>
            </w:pPr>
          </w:p>
        </w:tc>
        <w:tc>
          <w:tcPr>
            <w:tcW w:w="3562" w:type="dxa"/>
          </w:tcPr>
          <w:p w14:paraId="26D388E9" w14:textId="77777777" w:rsidR="000A7C14" w:rsidRDefault="000A7C14" w:rsidP="004C6E5A">
            <w:pPr>
              <w:rPr>
                <w:sz w:val="23"/>
                <w:szCs w:val="23"/>
              </w:rPr>
            </w:pPr>
          </w:p>
        </w:tc>
      </w:tr>
    </w:tbl>
    <w:p w14:paraId="318B28AB" w14:textId="77777777" w:rsidR="00241DE9" w:rsidRDefault="00241DE9" w:rsidP="004C6E5A">
      <w:pPr>
        <w:rPr>
          <w:sz w:val="23"/>
          <w:szCs w:val="23"/>
        </w:rPr>
      </w:pPr>
    </w:p>
    <w:p w14:paraId="42A3FF43" w14:textId="77777777" w:rsidR="009C30E8" w:rsidRPr="009C30E8" w:rsidRDefault="009C30E8" w:rsidP="009C30E8">
      <w:pPr>
        <w:pBdr>
          <w:top w:val="single" w:sz="12" w:space="1" w:color="auto"/>
          <w:left w:val="single" w:sz="12" w:space="4" w:color="auto"/>
          <w:bottom w:val="single" w:sz="12" w:space="1" w:color="auto"/>
          <w:right w:val="single" w:sz="12" w:space="4" w:color="auto"/>
        </w:pBdr>
        <w:autoSpaceDE w:val="0"/>
        <w:autoSpaceDN w:val="0"/>
        <w:adjustRightInd w:val="0"/>
        <w:rPr>
          <w:rFonts w:eastAsiaTheme="minorHAnsi"/>
          <w:color w:val="000000"/>
          <w:sz w:val="22"/>
          <w:szCs w:val="22"/>
        </w:rPr>
      </w:pPr>
      <w:r w:rsidRPr="009C30E8">
        <w:rPr>
          <w:rFonts w:eastAsiaTheme="minorHAnsi"/>
          <w:b/>
          <w:bCs/>
          <w:color w:val="000000"/>
          <w:sz w:val="28"/>
          <w:szCs w:val="28"/>
        </w:rPr>
        <w:t>3 C</w:t>
      </w:r>
      <w:r w:rsidRPr="009C30E8">
        <w:rPr>
          <w:rFonts w:eastAsiaTheme="minorHAnsi"/>
          <w:b/>
          <w:bCs/>
          <w:color w:val="000000"/>
          <w:sz w:val="22"/>
          <w:szCs w:val="22"/>
        </w:rPr>
        <w:t xml:space="preserve">OURSE </w:t>
      </w:r>
      <w:r w:rsidRPr="009C30E8">
        <w:rPr>
          <w:rFonts w:eastAsiaTheme="minorHAnsi"/>
          <w:b/>
          <w:bCs/>
          <w:color w:val="000000"/>
          <w:sz w:val="28"/>
          <w:szCs w:val="28"/>
        </w:rPr>
        <w:t>A</w:t>
      </w:r>
      <w:r w:rsidRPr="009C30E8">
        <w:rPr>
          <w:rFonts w:eastAsiaTheme="minorHAnsi"/>
          <w:b/>
          <w:bCs/>
          <w:color w:val="000000"/>
          <w:sz w:val="22"/>
          <w:szCs w:val="22"/>
        </w:rPr>
        <w:t xml:space="preserve">SSESSMENT </w:t>
      </w:r>
    </w:p>
    <w:p w14:paraId="288490B2" w14:textId="77777777" w:rsidR="009C30E8" w:rsidRDefault="009C30E8" w:rsidP="004C6E5A">
      <w:pPr>
        <w:rPr>
          <w:sz w:val="23"/>
          <w:szCs w:val="23"/>
        </w:rPr>
      </w:pPr>
    </w:p>
    <w:p w14:paraId="00AFD0F6" w14:textId="77777777" w:rsidR="009C30E8" w:rsidRDefault="009C30E8" w:rsidP="004C6E5A">
      <w:pPr>
        <w:rPr>
          <w:b/>
          <w:bCs/>
          <w:sz w:val="19"/>
          <w:szCs w:val="19"/>
        </w:rPr>
      </w:pPr>
      <w:r>
        <w:rPr>
          <w:b/>
          <w:bCs/>
          <w:sz w:val="23"/>
          <w:szCs w:val="23"/>
        </w:rPr>
        <w:t>L</w:t>
      </w:r>
      <w:r>
        <w:rPr>
          <w:b/>
          <w:bCs/>
          <w:sz w:val="19"/>
          <w:szCs w:val="19"/>
        </w:rPr>
        <w:t xml:space="preserve">INKAGE OF </w:t>
      </w:r>
      <w:r>
        <w:rPr>
          <w:b/>
          <w:bCs/>
          <w:sz w:val="23"/>
          <w:szCs w:val="23"/>
        </w:rPr>
        <w:t>A</w:t>
      </w:r>
      <w:r>
        <w:rPr>
          <w:b/>
          <w:bCs/>
          <w:sz w:val="19"/>
          <w:szCs w:val="19"/>
        </w:rPr>
        <w:t xml:space="preserve">SSESSMENT </w:t>
      </w:r>
      <w:r>
        <w:rPr>
          <w:b/>
          <w:bCs/>
          <w:sz w:val="23"/>
          <w:szCs w:val="23"/>
        </w:rPr>
        <w:t>M</w:t>
      </w:r>
      <w:r>
        <w:rPr>
          <w:b/>
          <w:bCs/>
          <w:sz w:val="19"/>
          <w:szCs w:val="19"/>
        </w:rPr>
        <w:t xml:space="preserve">ETHODS TO </w:t>
      </w:r>
      <w:r>
        <w:rPr>
          <w:b/>
          <w:bCs/>
          <w:sz w:val="23"/>
          <w:szCs w:val="23"/>
        </w:rPr>
        <w:t>L</w:t>
      </w:r>
      <w:r>
        <w:rPr>
          <w:b/>
          <w:bCs/>
          <w:sz w:val="19"/>
          <w:szCs w:val="19"/>
        </w:rPr>
        <w:t xml:space="preserve">EARNING </w:t>
      </w:r>
      <w:r>
        <w:rPr>
          <w:b/>
          <w:bCs/>
          <w:sz w:val="23"/>
          <w:szCs w:val="23"/>
        </w:rPr>
        <w:t>O</w:t>
      </w:r>
      <w:r>
        <w:rPr>
          <w:b/>
          <w:bCs/>
          <w:sz w:val="19"/>
          <w:szCs w:val="19"/>
        </w:rPr>
        <w:t>UTCOMES</w:t>
      </w:r>
    </w:p>
    <w:p w14:paraId="73F02E1A" w14:textId="77777777" w:rsidR="009C30E8" w:rsidRDefault="009C30E8" w:rsidP="004C6E5A">
      <w:pPr>
        <w:rPr>
          <w:b/>
          <w:bCs/>
          <w:sz w:val="19"/>
          <w:szCs w:val="19"/>
        </w:rPr>
      </w:pPr>
    </w:p>
    <w:tbl>
      <w:tblPr>
        <w:tblStyle w:val="TableGrid"/>
        <w:tblW w:w="9576" w:type="dxa"/>
        <w:tblLayout w:type="fixed"/>
        <w:tblLook w:val="04A0" w:firstRow="1" w:lastRow="0" w:firstColumn="1" w:lastColumn="0" w:noHBand="0" w:noVBand="1"/>
      </w:tblPr>
      <w:tblGrid>
        <w:gridCol w:w="2413"/>
        <w:gridCol w:w="1417"/>
        <w:gridCol w:w="1318"/>
        <w:gridCol w:w="1530"/>
        <w:gridCol w:w="2898"/>
      </w:tblGrid>
      <w:tr w:rsidR="00AB09CA" w14:paraId="4381CED8" w14:textId="77777777" w:rsidTr="00DE77A3">
        <w:tc>
          <w:tcPr>
            <w:tcW w:w="2413" w:type="dxa"/>
            <w:vMerge w:val="restart"/>
          </w:tcPr>
          <w:p w14:paraId="60259940" w14:textId="77777777" w:rsidR="00AB09CA" w:rsidRDefault="00AB09CA" w:rsidP="00AB09CA">
            <w:pPr>
              <w:pStyle w:val="Default"/>
              <w:jc w:val="center"/>
              <w:rPr>
                <w:sz w:val="23"/>
                <w:szCs w:val="23"/>
              </w:rPr>
            </w:pPr>
            <w:r>
              <w:rPr>
                <w:b/>
                <w:bCs/>
                <w:sz w:val="23"/>
                <w:szCs w:val="23"/>
              </w:rPr>
              <w:t>Assessment Method</w:t>
            </w:r>
          </w:p>
        </w:tc>
        <w:tc>
          <w:tcPr>
            <w:tcW w:w="2735" w:type="dxa"/>
            <w:gridSpan w:val="2"/>
          </w:tcPr>
          <w:p w14:paraId="1D7510BB" w14:textId="77777777" w:rsidR="00AB09CA" w:rsidRDefault="00AB09CA" w:rsidP="009C30E8">
            <w:pPr>
              <w:pStyle w:val="Default"/>
              <w:jc w:val="center"/>
              <w:rPr>
                <w:sz w:val="23"/>
                <w:szCs w:val="23"/>
              </w:rPr>
            </w:pPr>
            <w:r>
              <w:rPr>
                <w:b/>
                <w:bCs/>
                <w:sz w:val="23"/>
                <w:szCs w:val="23"/>
              </w:rPr>
              <w:t>Learning Outcomes</w:t>
            </w:r>
          </w:p>
        </w:tc>
        <w:tc>
          <w:tcPr>
            <w:tcW w:w="1530" w:type="dxa"/>
            <w:vMerge w:val="restart"/>
          </w:tcPr>
          <w:p w14:paraId="2F0F9FAA" w14:textId="77777777" w:rsidR="00AB09CA" w:rsidRDefault="00AB09CA" w:rsidP="00AB09CA">
            <w:pPr>
              <w:pStyle w:val="Default"/>
              <w:jc w:val="center"/>
              <w:rPr>
                <w:sz w:val="23"/>
                <w:szCs w:val="23"/>
              </w:rPr>
            </w:pPr>
            <w:r>
              <w:rPr>
                <w:b/>
                <w:bCs/>
                <w:sz w:val="23"/>
                <w:szCs w:val="23"/>
              </w:rPr>
              <w:t>Weighting %</w:t>
            </w:r>
          </w:p>
        </w:tc>
        <w:tc>
          <w:tcPr>
            <w:tcW w:w="2898" w:type="dxa"/>
            <w:vMerge w:val="restart"/>
          </w:tcPr>
          <w:p w14:paraId="056D0C69" w14:textId="77777777" w:rsidR="00AB09CA" w:rsidRPr="009C30E8" w:rsidRDefault="00AB09CA" w:rsidP="00AB09CA">
            <w:pPr>
              <w:pStyle w:val="Default"/>
              <w:jc w:val="center"/>
              <w:rPr>
                <w:sz w:val="22"/>
                <w:szCs w:val="22"/>
              </w:rPr>
            </w:pPr>
            <w:r>
              <w:rPr>
                <w:b/>
                <w:bCs/>
                <w:sz w:val="22"/>
                <w:szCs w:val="22"/>
              </w:rPr>
              <w:t>Assessment Description</w:t>
            </w:r>
          </w:p>
        </w:tc>
      </w:tr>
      <w:tr w:rsidR="00AB09CA" w14:paraId="6308616A" w14:textId="77777777" w:rsidTr="00DE77A3">
        <w:tc>
          <w:tcPr>
            <w:tcW w:w="2413" w:type="dxa"/>
            <w:vMerge/>
          </w:tcPr>
          <w:p w14:paraId="65E8FEDF" w14:textId="77777777" w:rsidR="00AB09CA" w:rsidRDefault="00AB09CA" w:rsidP="004C6E5A">
            <w:pPr>
              <w:rPr>
                <w:sz w:val="23"/>
                <w:szCs w:val="23"/>
              </w:rPr>
            </w:pPr>
          </w:p>
        </w:tc>
        <w:tc>
          <w:tcPr>
            <w:tcW w:w="1417" w:type="dxa"/>
          </w:tcPr>
          <w:p w14:paraId="36869903" w14:textId="77777777" w:rsidR="00AB09CA" w:rsidRDefault="00AB09CA" w:rsidP="009C30E8">
            <w:pPr>
              <w:pStyle w:val="Default"/>
              <w:jc w:val="center"/>
              <w:rPr>
                <w:sz w:val="23"/>
                <w:szCs w:val="23"/>
              </w:rPr>
            </w:pPr>
            <w:r>
              <w:rPr>
                <w:b/>
                <w:bCs/>
                <w:sz w:val="23"/>
                <w:szCs w:val="23"/>
              </w:rPr>
              <w:t>LO1</w:t>
            </w:r>
          </w:p>
        </w:tc>
        <w:tc>
          <w:tcPr>
            <w:tcW w:w="1318" w:type="dxa"/>
          </w:tcPr>
          <w:p w14:paraId="64A8E66C" w14:textId="77777777" w:rsidR="00AB09CA" w:rsidRDefault="00AB09CA" w:rsidP="009C30E8">
            <w:pPr>
              <w:pStyle w:val="Default"/>
              <w:jc w:val="center"/>
              <w:rPr>
                <w:sz w:val="23"/>
                <w:szCs w:val="23"/>
              </w:rPr>
            </w:pPr>
            <w:r>
              <w:rPr>
                <w:b/>
                <w:bCs/>
                <w:sz w:val="23"/>
                <w:szCs w:val="23"/>
              </w:rPr>
              <w:t>LO2</w:t>
            </w:r>
          </w:p>
        </w:tc>
        <w:tc>
          <w:tcPr>
            <w:tcW w:w="1530" w:type="dxa"/>
            <w:vMerge/>
          </w:tcPr>
          <w:p w14:paraId="3E9CB160" w14:textId="77777777" w:rsidR="00AB09CA" w:rsidRDefault="00AB09CA" w:rsidP="00AB09CA">
            <w:pPr>
              <w:jc w:val="center"/>
              <w:rPr>
                <w:sz w:val="23"/>
                <w:szCs w:val="23"/>
              </w:rPr>
            </w:pPr>
          </w:p>
        </w:tc>
        <w:tc>
          <w:tcPr>
            <w:tcW w:w="2898" w:type="dxa"/>
            <w:vMerge/>
          </w:tcPr>
          <w:p w14:paraId="1C4D782F" w14:textId="77777777" w:rsidR="00AB09CA" w:rsidRDefault="00AB09CA" w:rsidP="004C6E5A">
            <w:pPr>
              <w:rPr>
                <w:sz w:val="23"/>
                <w:szCs w:val="23"/>
              </w:rPr>
            </w:pPr>
          </w:p>
        </w:tc>
      </w:tr>
      <w:tr w:rsidR="009C30E8" w14:paraId="6BB5BBD2" w14:textId="77777777" w:rsidTr="00DE77A3">
        <w:tc>
          <w:tcPr>
            <w:tcW w:w="2413" w:type="dxa"/>
          </w:tcPr>
          <w:p w14:paraId="538DFE24" w14:textId="28E486E4" w:rsidR="009C30E8" w:rsidRPr="00AB09CA" w:rsidRDefault="00AB09CA" w:rsidP="004C6E5A">
            <w:pPr>
              <w:rPr>
                <w:rFonts w:ascii="Bookman Old Style" w:hAnsi="Bookman Old Style"/>
                <w:sz w:val="23"/>
                <w:szCs w:val="23"/>
              </w:rPr>
            </w:pPr>
            <w:r w:rsidRPr="00AB09CA">
              <w:rPr>
                <w:rFonts w:ascii="Bookman Old Style" w:hAnsi="Bookman Old Style"/>
                <w:sz w:val="20"/>
                <w:szCs w:val="23"/>
              </w:rPr>
              <w:t>Coursework project</w:t>
            </w:r>
            <w:r w:rsidR="00FB1019">
              <w:rPr>
                <w:rFonts w:ascii="Bookman Old Style" w:hAnsi="Bookman Old Style"/>
                <w:sz w:val="20"/>
                <w:szCs w:val="23"/>
              </w:rPr>
              <w:t xml:space="preserve"> / tutorial participation </w:t>
            </w:r>
          </w:p>
        </w:tc>
        <w:tc>
          <w:tcPr>
            <w:tcW w:w="1417" w:type="dxa"/>
          </w:tcPr>
          <w:p w14:paraId="095B94BB" w14:textId="77777777" w:rsidR="009C30E8" w:rsidRPr="00AB09CA" w:rsidRDefault="009C30E8" w:rsidP="00AB09CA">
            <w:pPr>
              <w:pStyle w:val="ListParagraph"/>
              <w:numPr>
                <w:ilvl w:val="0"/>
                <w:numId w:val="5"/>
              </w:numPr>
              <w:jc w:val="center"/>
              <w:rPr>
                <w:sz w:val="23"/>
                <w:szCs w:val="23"/>
              </w:rPr>
            </w:pPr>
          </w:p>
        </w:tc>
        <w:tc>
          <w:tcPr>
            <w:tcW w:w="1318" w:type="dxa"/>
          </w:tcPr>
          <w:p w14:paraId="196581C2" w14:textId="77777777" w:rsidR="009C30E8" w:rsidRPr="00AB09CA" w:rsidRDefault="009C30E8" w:rsidP="00AB09CA">
            <w:pPr>
              <w:pStyle w:val="ListParagraph"/>
              <w:numPr>
                <w:ilvl w:val="0"/>
                <w:numId w:val="5"/>
              </w:numPr>
              <w:jc w:val="center"/>
              <w:rPr>
                <w:sz w:val="23"/>
                <w:szCs w:val="23"/>
              </w:rPr>
            </w:pPr>
          </w:p>
        </w:tc>
        <w:tc>
          <w:tcPr>
            <w:tcW w:w="1530" w:type="dxa"/>
            <w:vAlign w:val="center"/>
          </w:tcPr>
          <w:p w14:paraId="662FAF50" w14:textId="47B1BDB1" w:rsidR="00AB09CA" w:rsidRDefault="00DE77A3" w:rsidP="00AB09CA">
            <w:pPr>
              <w:pStyle w:val="Default"/>
              <w:jc w:val="center"/>
              <w:rPr>
                <w:sz w:val="20"/>
                <w:szCs w:val="20"/>
              </w:rPr>
            </w:pPr>
            <w:r>
              <w:rPr>
                <w:sz w:val="20"/>
                <w:szCs w:val="20"/>
              </w:rPr>
              <w:t>100</w:t>
            </w:r>
            <w:r w:rsidR="00AB09CA">
              <w:rPr>
                <w:sz w:val="20"/>
                <w:szCs w:val="20"/>
              </w:rPr>
              <w:t>%</w:t>
            </w:r>
          </w:p>
          <w:p w14:paraId="4E6586F9" w14:textId="77777777" w:rsidR="009C30E8" w:rsidRDefault="009C30E8" w:rsidP="00AB09CA">
            <w:pPr>
              <w:jc w:val="center"/>
              <w:rPr>
                <w:sz w:val="23"/>
                <w:szCs w:val="23"/>
              </w:rPr>
            </w:pPr>
          </w:p>
        </w:tc>
        <w:tc>
          <w:tcPr>
            <w:tcW w:w="2898" w:type="dxa"/>
          </w:tcPr>
          <w:p w14:paraId="27F7E26A" w14:textId="590389E9" w:rsidR="009C30E8" w:rsidRPr="00AB09CA" w:rsidRDefault="00AB09CA" w:rsidP="00345DEC">
            <w:pPr>
              <w:jc w:val="both"/>
              <w:rPr>
                <w:rFonts w:ascii="Bookman Old Style" w:hAnsi="Bookman Old Style"/>
                <w:sz w:val="20"/>
                <w:szCs w:val="23"/>
              </w:rPr>
            </w:pPr>
            <w:r w:rsidRPr="00AB09CA">
              <w:rPr>
                <w:rFonts w:ascii="Bookman Old Style" w:hAnsi="Bookman Old Style"/>
                <w:sz w:val="20"/>
                <w:szCs w:val="23"/>
              </w:rPr>
              <w:t xml:space="preserve">Students will be required to undertake </w:t>
            </w:r>
            <w:r w:rsidR="00DE77A3">
              <w:rPr>
                <w:rFonts w:ascii="Bookman Old Style" w:hAnsi="Bookman Old Style"/>
                <w:sz w:val="20"/>
                <w:szCs w:val="23"/>
              </w:rPr>
              <w:t xml:space="preserve">short answer and </w:t>
            </w:r>
            <w:r w:rsidR="002D5269">
              <w:rPr>
                <w:rFonts w:ascii="Bookman Old Style" w:hAnsi="Bookman Old Style"/>
                <w:sz w:val="20"/>
                <w:szCs w:val="23"/>
              </w:rPr>
              <w:t>multiple-choice</w:t>
            </w:r>
            <w:r w:rsidR="00DE77A3">
              <w:rPr>
                <w:rFonts w:ascii="Bookman Old Style" w:hAnsi="Bookman Old Style"/>
                <w:sz w:val="20"/>
                <w:szCs w:val="23"/>
              </w:rPr>
              <w:t xml:space="preserve"> questions throughout the semester </w:t>
            </w:r>
          </w:p>
        </w:tc>
      </w:tr>
    </w:tbl>
    <w:p w14:paraId="6ED31AED" w14:textId="77777777" w:rsidR="009C30E8" w:rsidRDefault="009C30E8" w:rsidP="004C6E5A">
      <w:pPr>
        <w:rPr>
          <w:sz w:val="23"/>
          <w:szCs w:val="23"/>
        </w:rPr>
      </w:pPr>
    </w:p>
    <w:p w14:paraId="2679767A" w14:textId="77777777" w:rsidR="00DE77A3" w:rsidRDefault="00DE77A3" w:rsidP="00DE77A3">
      <w:pPr>
        <w:rPr>
          <w:b/>
          <w:sz w:val="23"/>
          <w:szCs w:val="23"/>
        </w:rPr>
      </w:pPr>
      <w:r>
        <w:rPr>
          <w:b/>
          <w:sz w:val="23"/>
          <w:szCs w:val="23"/>
        </w:rPr>
        <w:t>Guidelines for submission</w:t>
      </w:r>
    </w:p>
    <w:p w14:paraId="1CC2FAEB" w14:textId="77777777" w:rsidR="00DE77A3" w:rsidRPr="00383FA3" w:rsidRDefault="00DE77A3" w:rsidP="00DE77A3">
      <w:pPr>
        <w:rPr>
          <w:sz w:val="23"/>
          <w:szCs w:val="23"/>
        </w:rPr>
      </w:pPr>
      <w:r w:rsidRPr="00383FA3">
        <w:rPr>
          <w:sz w:val="23"/>
          <w:szCs w:val="23"/>
        </w:rPr>
        <w:t xml:space="preserve">Font: Times New Roman, pitch 12 </w:t>
      </w:r>
    </w:p>
    <w:p w14:paraId="7F20BF9E" w14:textId="77777777" w:rsidR="00DE77A3" w:rsidRPr="00383FA3" w:rsidRDefault="00DE77A3" w:rsidP="00DE77A3">
      <w:pPr>
        <w:rPr>
          <w:sz w:val="23"/>
          <w:szCs w:val="23"/>
        </w:rPr>
      </w:pPr>
      <w:r w:rsidRPr="00383FA3">
        <w:rPr>
          <w:sz w:val="23"/>
          <w:szCs w:val="23"/>
        </w:rPr>
        <w:t xml:space="preserve">Line Spacing: Single Line Spacing </w:t>
      </w:r>
    </w:p>
    <w:p w14:paraId="2663FDB9" w14:textId="77777777" w:rsidR="00DE77A3" w:rsidRDefault="00DE77A3" w:rsidP="00DE77A3">
      <w:pPr>
        <w:rPr>
          <w:sz w:val="23"/>
          <w:szCs w:val="23"/>
        </w:rPr>
      </w:pPr>
      <w:r>
        <w:rPr>
          <w:sz w:val="23"/>
          <w:szCs w:val="23"/>
        </w:rPr>
        <w:t xml:space="preserve">Length: No more than 1000 words </w:t>
      </w:r>
    </w:p>
    <w:p w14:paraId="65095648" w14:textId="77777777" w:rsidR="00DE77A3" w:rsidRDefault="00DE77A3" w:rsidP="00DE77A3">
      <w:pPr>
        <w:rPr>
          <w:sz w:val="23"/>
          <w:szCs w:val="23"/>
        </w:rPr>
      </w:pPr>
      <w:r>
        <w:rPr>
          <w:sz w:val="23"/>
          <w:szCs w:val="23"/>
        </w:rPr>
        <w:t xml:space="preserve">All assessments much be submitted via the </w:t>
      </w:r>
      <w:proofErr w:type="spellStart"/>
      <w:r>
        <w:rPr>
          <w:sz w:val="23"/>
          <w:szCs w:val="23"/>
        </w:rPr>
        <w:t>elearning</w:t>
      </w:r>
      <w:proofErr w:type="spellEnd"/>
      <w:r>
        <w:rPr>
          <w:sz w:val="23"/>
          <w:szCs w:val="23"/>
        </w:rPr>
        <w:t xml:space="preserve"> platform</w:t>
      </w:r>
    </w:p>
    <w:p w14:paraId="33BCE5F7" w14:textId="77777777" w:rsidR="00075082" w:rsidRDefault="00075082" w:rsidP="004C6E5A">
      <w:pPr>
        <w:rPr>
          <w:sz w:val="23"/>
          <w:szCs w:val="23"/>
        </w:rPr>
      </w:pPr>
    </w:p>
    <w:p w14:paraId="70CF15E9" w14:textId="77777777" w:rsidR="00075082" w:rsidRDefault="00075082" w:rsidP="004C6E5A">
      <w:pPr>
        <w:rPr>
          <w:sz w:val="23"/>
          <w:szCs w:val="23"/>
        </w:rPr>
      </w:pPr>
    </w:p>
    <w:p w14:paraId="53887C09" w14:textId="77777777" w:rsidR="00075082" w:rsidRDefault="00075082" w:rsidP="004C6E5A">
      <w:pPr>
        <w:rPr>
          <w:sz w:val="23"/>
          <w:szCs w:val="23"/>
        </w:rPr>
      </w:pPr>
    </w:p>
    <w:p w14:paraId="3503C2E9" w14:textId="77777777" w:rsidR="00AB09CA" w:rsidRPr="007A0D76" w:rsidRDefault="00AB09CA" w:rsidP="00AB09CA">
      <w:pPr>
        <w:pBdr>
          <w:top w:val="single" w:sz="12" w:space="1" w:color="auto"/>
          <w:left w:val="single" w:sz="12" w:space="4" w:color="auto"/>
          <w:bottom w:val="single" w:sz="12" w:space="1" w:color="auto"/>
          <w:right w:val="single" w:sz="12" w:space="4" w:color="auto"/>
        </w:pBdr>
        <w:rPr>
          <w:sz w:val="22"/>
          <w:szCs w:val="23"/>
        </w:rPr>
      </w:pPr>
      <w:r w:rsidRPr="007A0D76">
        <w:rPr>
          <w:b/>
          <w:bCs/>
          <w:sz w:val="22"/>
          <w:szCs w:val="23"/>
        </w:rPr>
        <w:t>4 TEACHING METHODS</w:t>
      </w:r>
    </w:p>
    <w:p w14:paraId="6C59259B" w14:textId="77777777" w:rsidR="00AB09CA" w:rsidRDefault="00AB09CA" w:rsidP="00AB09CA">
      <w:pPr>
        <w:rPr>
          <w:sz w:val="23"/>
          <w:szCs w:val="23"/>
        </w:rPr>
      </w:pPr>
    </w:p>
    <w:tbl>
      <w:tblPr>
        <w:tblStyle w:val="TableGrid"/>
        <w:tblW w:w="0" w:type="auto"/>
        <w:tblLook w:val="04A0" w:firstRow="1" w:lastRow="0" w:firstColumn="1" w:lastColumn="0" w:noHBand="0" w:noVBand="1"/>
      </w:tblPr>
      <w:tblGrid>
        <w:gridCol w:w="2056"/>
        <w:gridCol w:w="7294"/>
      </w:tblGrid>
      <w:tr w:rsidR="00AB09CA" w14:paraId="35FE1072" w14:textId="77777777" w:rsidTr="009E52F4">
        <w:tc>
          <w:tcPr>
            <w:tcW w:w="2088" w:type="dxa"/>
          </w:tcPr>
          <w:p w14:paraId="330497A8" w14:textId="77777777" w:rsidR="00AB09CA" w:rsidRDefault="009E52F4" w:rsidP="009E52F4">
            <w:pPr>
              <w:pStyle w:val="Default"/>
              <w:rPr>
                <w:sz w:val="23"/>
                <w:szCs w:val="23"/>
              </w:rPr>
            </w:pPr>
            <w:r>
              <w:rPr>
                <w:b/>
                <w:bCs/>
                <w:sz w:val="23"/>
                <w:szCs w:val="23"/>
              </w:rPr>
              <w:t xml:space="preserve">Method </w:t>
            </w:r>
          </w:p>
        </w:tc>
        <w:tc>
          <w:tcPr>
            <w:tcW w:w="7488" w:type="dxa"/>
          </w:tcPr>
          <w:p w14:paraId="523AD4AF" w14:textId="77777777" w:rsidR="00AB09CA" w:rsidRDefault="009E52F4" w:rsidP="009E52F4">
            <w:pPr>
              <w:pStyle w:val="Default"/>
              <w:rPr>
                <w:sz w:val="23"/>
                <w:szCs w:val="23"/>
              </w:rPr>
            </w:pPr>
            <w:r>
              <w:rPr>
                <w:b/>
                <w:bCs/>
                <w:sz w:val="23"/>
                <w:szCs w:val="23"/>
              </w:rPr>
              <w:t xml:space="preserve">Description </w:t>
            </w:r>
          </w:p>
        </w:tc>
      </w:tr>
      <w:tr w:rsidR="00AB09CA" w14:paraId="78135DCF" w14:textId="77777777" w:rsidTr="009E52F4">
        <w:tc>
          <w:tcPr>
            <w:tcW w:w="2088" w:type="dxa"/>
          </w:tcPr>
          <w:p w14:paraId="6EC9BB34" w14:textId="77777777" w:rsidR="00AB09CA" w:rsidRDefault="009E52F4" w:rsidP="00AB09CA">
            <w:pPr>
              <w:rPr>
                <w:sz w:val="23"/>
                <w:szCs w:val="23"/>
              </w:rPr>
            </w:pPr>
            <w:r>
              <w:rPr>
                <w:sz w:val="23"/>
                <w:szCs w:val="23"/>
              </w:rPr>
              <w:t>Face-to-Face Lectures</w:t>
            </w:r>
          </w:p>
        </w:tc>
        <w:tc>
          <w:tcPr>
            <w:tcW w:w="7488" w:type="dxa"/>
          </w:tcPr>
          <w:p w14:paraId="4C1FB945" w14:textId="77777777" w:rsidR="00AB09CA" w:rsidRDefault="009E52F4" w:rsidP="007A0D76">
            <w:pPr>
              <w:jc w:val="both"/>
              <w:rPr>
                <w:sz w:val="23"/>
                <w:szCs w:val="23"/>
              </w:rPr>
            </w:pPr>
            <w:r w:rsidRPr="00FC6B72">
              <w:t xml:space="preserve">The </w:t>
            </w:r>
            <w:r>
              <w:t xml:space="preserve">main </w:t>
            </w:r>
            <w:r w:rsidRPr="00FC6B72">
              <w:t>mode of teaching wi</w:t>
            </w:r>
            <w:r>
              <w:t>ll be via face-to-</w:t>
            </w:r>
            <w:r w:rsidRPr="00FC6B72">
              <w:t>face lectures. Cases and group discussions will also be used.</w:t>
            </w:r>
          </w:p>
        </w:tc>
      </w:tr>
      <w:tr w:rsidR="00AB09CA" w14:paraId="503762F9" w14:textId="77777777" w:rsidTr="009E52F4">
        <w:tc>
          <w:tcPr>
            <w:tcW w:w="2088" w:type="dxa"/>
          </w:tcPr>
          <w:p w14:paraId="1A02D4EC" w14:textId="77777777" w:rsidR="00AB09CA" w:rsidRDefault="009E52F4" w:rsidP="00AB09CA">
            <w:pPr>
              <w:rPr>
                <w:sz w:val="23"/>
                <w:szCs w:val="23"/>
              </w:rPr>
            </w:pPr>
            <w:r>
              <w:rPr>
                <w:sz w:val="23"/>
                <w:szCs w:val="23"/>
              </w:rPr>
              <w:t>Tutorials</w:t>
            </w:r>
          </w:p>
        </w:tc>
        <w:tc>
          <w:tcPr>
            <w:tcW w:w="7488" w:type="dxa"/>
          </w:tcPr>
          <w:p w14:paraId="79AF2BFC" w14:textId="77777777" w:rsidR="00AB09CA" w:rsidRDefault="009E52F4" w:rsidP="007A0D76">
            <w:pPr>
              <w:jc w:val="both"/>
              <w:rPr>
                <w:sz w:val="23"/>
                <w:szCs w:val="23"/>
              </w:rPr>
            </w:pPr>
            <w:r>
              <w:rPr>
                <w:sz w:val="23"/>
                <w:szCs w:val="23"/>
              </w:rPr>
              <w:t xml:space="preserve">Tutorial sessions provide further elucidation of course content </w:t>
            </w:r>
          </w:p>
        </w:tc>
      </w:tr>
    </w:tbl>
    <w:p w14:paraId="77DCD12E" w14:textId="77777777" w:rsidR="00AB09CA" w:rsidRDefault="00AB09CA" w:rsidP="009E52F4">
      <w:pPr>
        <w:rPr>
          <w:sz w:val="23"/>
          <w:szCs w:val="23"/>
        </w:rPr>
      </w:pPr>
    </w:p>
    <w:p w14:paraId="717DFF42" w14:textId="77777777" w:rsidR="00324C25" w:rsidRDefault="00324C25" w:rsidP="009E52F4">
      <w:pPr>
        <w:rPr>
          <w:sz w:val="23"/>
          <w:szCs w:val="23"/>
        </w:rPr>
      </w:pPr>
    </w:p>
    <w:p w14:paraId="09B68E4D" w14:textId="77777777" w:rsidR="009E52F4" w:rsidRPr="007A0D76" w:rsidRDefault="009E52F4" w:rsidP="009E52F4">
      <w:pPr>
        <w:pBdr>
          <w:top w:val="single" w:sz="12" w:space="1" w:color="auto"/>
          <w:left w:val="single" w:sz="12" w:space="4" w:color="auto"/>
          <w:bottom w:val="single" w:sz="12" w:space="1" w:color="auto"/>
          <w:right w:val="single" w:sz="12" w:space="4" w:color="auto"/>
        </w:pBdr>
        <w:rPr>
          <w:sz w:val="22"/>
          <w:szCs w:val="23"/>
        </w:rPr>
      </w:pPr>
      <w:r w:rsidRPr="007A0D76">
        <w:rPr>
          <w:b/>
          <w:bCs/>
          <w:sz w:val="22"/>
          <w:szCs w:val="23"/>
        </w:rPr>
        <w:t>5 COURSE CALENDAR</w:t>
      </w:r>
    </w:p>
    <w:p w14:paraId="3B7DD53F" w14:textId="77777777" w:rsidR="009E52F4" w:rsidRDefault="009E52F4" w:rsidP="009E52F4">
      <w:pPr>
        <w:rPr>
          <w:sz w:val="23"/>
          <w:szCs w:val="23"/>
        </w:rPr>
      </w:pPr>
    </w:p>
    <w:tbl>
      <w:tblPr>
        <w:tblStyle w:val="TableGrid"/>
        <w:tblW w:w="0" w:type="auto"/>
        <w:tblLayout w:type="fixed"/>
        <w:tblLook w:val="04A0" w:firstRow="1" w:lastRow="0" w:firstColumn="1" w:lastColumn="0" w:noHBand="0" w:noVBand="1"/>
      </w:tblPr>
      <w:tblGrid>
        <w:gridCol w:w="918"/>
        <w:gridCol w:w="2970"/>
        <w:gridCol w:w="5688"/>
      </w:tblGrid>
      <w:tr w:rsidR="009E52F4" w14:paraId="61156570" w14:textId="77777777" w:rsidTr="00625335">
        <w:tc>
          <w:tcPr>
            <w:tcW w:w="918" w:type="dxa"/>
          </w:tcPr>
          <w:p w14:paraId="656AB158" w14:textId="77777777" w:rsidR="009E52F4" w:rsidRDefault="009E52F4" w:rsidP="009E52F4">
            <w:pPr>
              <w:pStyle w:val="Default"/>
              <w:rPr>
                <w:sz w:val="23"/>
                <w:szCs w:val="23"/>
              </w:rPr>
            </w:pPr>
            <w:r>
              <w:rPr>
                <w:b/>
                <w:bCs/>
                <w:sz w:val="23"/>
                <w:szCs w:val="23"/>
              </w:rPr>
              <w:t xml:space="preserve">Week </w:t>
            </w:r>
          </w:p>
        </w:tc>
        <w:tc>
          <w:tcPr>
            <w:tcW w:w="2970" w:type="dxa"/>
          </w:tcPr>
          <w:p w14:paraId="4922668B" w14:textId="77777777" w:rsidR="009E52F4" w:rsidRDefault="009E52F4" w:rsidP="009E52F4">
            <w:pPr>
              <w:pStyle w:val="Default"/>
              <w:rPr>
                <w:sz w:val="23"/>
                <w:szCs w:val="23"/>
              </w:rPr>
            </w:pPr>
            <w:r>
              <w:rPr>
                <w:b/>
                <w:bCs/>
                <w:sz w:val="23"/>
                <w:szCs w:val="23"/>
              </w:rPr>
              <w:t xml:space="preserve">Topics </w:t>
            </w:r>
          </w:p>
        </w:tc>
        <w:tc>
          <w:tcPr>
            <w:tcW w:w="5688" w:type="dxa"/>
          </w:tcPr>
          <w:p w14:paraId="47C4B9B6" w14:textId="77777777" w:rsidR="009E52F4" w:rsidRDefault="009E52F4" w:rsidP="009E52F4">
            <w:pPr>
              <w:pStyle w:val="Default"/>
              <w:rPr>
                <w:sz w:val="23"/>
                <w:szCs w:val="23"/>
              </w:rPr>
            </w:pPr>
            <w:r>
              <w:rPr>
                <w:b/>
                <w:bCs/>
                <w:sz w:val="23"/>
                <w:szCs w:val="23"/>
              </w:rPr>
              <w:t xml:space="preserve">Readings/Resources </w:t>
            </w:r>
          </w:p>
        </w:tc>
      </w:tr>
      <w:tr w:rsidR="009E52F4" w14:paraId="3B4652E6" w14:textId="77777777" w:rsidTr="00625335">
        <w:tc>
          <w:tcPr>
            <w:tcW w:w="918" w:type="dxa"/>
          </w:tcPr>
          <w:p w14:paraId="0CE1703A"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1</w:t>
            </w:r>
          </w:p>
        </w:tc>
        <w:tc>
          <w:tcPr>
            <w:tcW w:w="2970" w:type="dxa"/>
          </w:tcPr>
          <w:p w14:paraId="3F9B222F"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 xml:space="preserve">Introduction and Course Overview </w:t>
            </w:r>
          </w:p>
        </w:tc>
        <w:tc>
          <w:tcPr>
            <w:tcW w:w="5688" w:type="dxa"/>
          </w:tcPr>
          <w:p w14:paraId="3D7B38FF"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tc>
      </w:tr>
      <w:tr w:rsidR="009E52F4" w14:paraId="4D63C33F" w14:textId="77777777" w:rsidTr="00625335">
        <w:tc>
          <w:tcPr>
            <w:tcW w:w="918" w:type="dxa"/>
          </w:tcPr>
          <w:p w14:paraId="13E7073E"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2</w:t>
            </w:r>
          </w:p>
        </w:tc>
        <w:tc>
          <w:tcPr>
            <w:tcW w:w="2970" w:type="dxa"/>
          </w:tcPr>
          <w:p w14:paraId="210D8627"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From Federation to CSME</w:t>
            </w:r>
          </w:p>
        </w:tc>
        <w:tc>
          <w:tcPr>
            <w:tcW w:w="5688" w:type="dxa"/>
          </w:tcPr>
          <w:p w14:paraId="1EE05B97" w14:textId="77777777" w:rsidR="009F5EFE" w:rsidRPr="00625335" w:rsidRDefault="009F5EFE"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20266608" w14:textId="77777777" w:rsidR="009F5EFE" w:rsidRPr="00625335" w:rsidRDefault="009F5EFE" w:rsidP="00625335">
            <w:pPr>
              <w:pStyle w:val="NoSpacing"/>
              <w:ind w:left="720" w:hanging="720"/>
              <w:jc w:val="both"/>
              <w:rPr>
                <w:rFonts w:ascii="Bookman Old Style" w:hAnsi="Bookman Old Style"/>
                <w:sz w:val="20"/>
                <w:szCs w:val="20"/>
              </w:rPr>
            </w:pPr>
            <w:proofErr w:type="spellStart"/>
            <w:r w:rsidRPr="00625335">
              <w:rPr>
                <w:rFonts w:ascii="Bookman Old Style" w:hAnsi="Bookman Old Style"/>
                <w:sz w:val="20"/>
                <w:szCs w:val="20"/>
              </w:rPr>
              <w:t>Chernick</w:t>
            </w:r>
            <w:proofErr w:type="spellEnd"/>
            <w:r w:rsidRPr="00625335">
              <w:rPr>
                <w:rFonts w:ascii="Bookman Old Style" w:hAnsi="Bookman Old Style"/>
                <w:sz w:val="20"/>
                <w:szCs w:val="20"/>
              </w:rPr>
              <w:t>, S. E. 1978. The Commonwealth Caribbean: The Integration Experience: Report of a Mission Sent to the Commonwealth Caribbean by the World Bank. Baltimore: Johns Hopkins University Press and The World Bank.</w:t>
            </w:r>
          </w:p>
          <w:p w14:paraId="7C2500E4" w14:textId="77777777" w:rsidR="009F5EFE" w:rsidRPr="00625335" w:rsidRDefault="009F5EFE"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Brewster, H. and C. Thomas. 1967. </w:t>
            </w:r>
            <w:r w:rsidRPr="00625335">
              <w:rPr>
                <w:rFonts w:ascii="Bookman Old Style" w:hAnsi="Bookman Old Style"/>
                <w:i/>
                <w:iCs/>
                <w:sz w:val="20"/>
                <w:szCs w:val="20"/>
              </w:rPr>
              <w:t xml:space="preserve">The Dynamics of West Indian Economic Integration. </w:t>
            </w:r>
            <w:r w:rsidRPr="00625335">
              <w:rPr>
                <w:rFonts w:ascii="Bookman Old Style" w:hAnsi="Bookman Old Style"/>
                <w:sz w:val="20"/>
                <w:szCs w:val="20"/>
              </w:rPr>
              <w:t>Mona: Institute of Social and Economic Research.</w:t>
            </w:r>
          </w:p>
          <w:p w14:paraId="32A02FAD" w14:textId="77777777" w:rsidR="009F5EFE" w:rsidRPr="00625335" w:rsidRDefault="009F5EFE"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Girvan, N. 2010. “Caribbean Community: The Elusive Quest for Economic Integration.” In </w:t>
            </w:r>
            <w:r w:rsidRPr="00625335">
              <w:rPr>
                <w:rFonts w:ascii="Bookman Old Style" w:hAnsi="Bookman Old Style"/>
                <w:i/>
                <w:sz w:val="20"/>
                <w:szCs w:val="20"/>
              </w:rPr>
              <w:t>Growth and Development Strategies in the Caribbean. Barbados,</w:t>
            </w:r>
            <w:r w:rsidRPr="00625335">
              <w:rPr>
                <w:rFonts w:ascii="Bookman Old Style" w:hAnsi="Bookman Old Style"/>
                <w:sz w:val="20"/>
                <w:szCs w:val="20"/>
              </w:rPr>
              <w:t xml:space="preserve"> Alleyne, F., D. Lewis-Bynoe and X. Archibald (Eds.). Caribbean Development Bank 2010: 199-218.</w:t>
            </w:r>
          </w:p>
          <w:p w14:paraId="4651DBA2" w14:textId="77777777" w:rsidR="009F5EFE" w:rsidRPr="00625335" w:rsidRDefault="009F5EFE"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Mordecai, J. 1968. </w:t>
            </w:r>
            <w:r w:rsidRPr="00625335">
              <w:rPr>
                <w:rFonts w:ascii="Bookman Old Style" w:hAnsi="Bookman Old Style"/>
                <w:i/>
                <w:iCs/>
                <w:sz w:val="20"/>
                <w:szCs w:val="20"/>
              </w:rPr>
              <w:t>Federation of the West Indies</w:t>
            </w:r>
            <w:r w:rsidRPr="00625335">
              <w:rPr>
                <w:rFonts w:ascii="Bookman Old Style" w:hAnsi="Bookman Old Style"/>
                <w:sz w:val="20"/>
                <w:szCs w:val="20"/>
              </w:rPr>
              <w:t>. Evanston: Northwestern University Press</w:t>
            </w:r>
          </w:p>
        </w:tc>
      </w:tr>
      <w:tr w:rsidR="009E52F4" w14:paraId="086BE8D9" w14:textId="77777777" w:rsidTr="00625335">
        <w:tc>
          <w:tcPr>
            <w:tcW w:w="918" w:type="dxa"/>
          </w:tcPr>
          <w:p w14:paraId="07462939"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3</w:t>
            </w:r>
          </w:p>
        </w:tc>
        <w:tc>
          <w:tcPr>
            <w:tcW w:w="2970" w:type="dxa"/>
          </w:tcPr>
          <w:p w14:paraId="29A82150"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Macroeconomic Overview of CARICOM Economies</w:t>
            </w:r>
          </w:p>
        </w:tc>
        <w:tc>
          <w:tcPr>
            <w:tcW w:w="5688" w:type="dxa"/>
          </w:tcPr>
          <w:p w14:paraId="3212B6FB"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13028883" w14:textId="77777777" w:rsidR="00A95BBE" w:rsidRPr="00625335" w:rsidRDefault="00A95BBE" w:rsidP="00625335">
            <w:pPr>
              <w:pStyle w:val="NoSpacing"/>
              <w:ind w:left="702" w:hanging="702"/>
              <w:jc w:val="both"/>
              <w:rPr>
                <w:rFonts w:ascii="Bookman Old Style" w:hAnsi="Bookman Old Style"/>
                <w:sz w:val="20"/>
                <w:szCs w:val="20"/>
              </w:rPr>
            </w:pPr>
            <w:r w:rsidRPr="00625335">
              <w:rPr>
                <w:rFonts w:ascii="Bookman Old Style" w:hAnsi="Bookman Old Style"/>
                <w:sz w:val="20"/>
                <w:szCs w:val="20"/>
              </w:rPr>
              <w:t>Inter-American Development Bank, Caribbean Region Quarterly Bulletin</w:t>
            </w:r>
          </w:p>
          <w:p w14:paraId="633BCE72" w14:textId="77777777" w:rsidR="0013688C" w:rsidRPr="00625335" w:rsidRDefault="0013688C" w:rsidP="00625335">
            <w:pPr>
              <w:jc w:val="both"/>
              <w:rPr>
                <w:rFonts w:ascii="Bookman Old Style" w:hAnsi="Bookman Old Style"/>
                <w:b/>
                <w:sz w:val="20"/>
                <w:szCs w:val="20"/>
              </w:rPr>
            </w:pPr>
            <w:r w:rsidRPr="00625335">
              <w:rPr>
                <w:rFonts w:ascii="Bookman Old Style" w:hAnsi="Bookman Old Style"/>
                <w:bCs/>
                <w:sz w:val="20"/>
                <w:szCs w:val="20"/>
              </w:rPr>
              <w:t>UNECLAC, Preliminary Overview of Caribbean Economies</w:t>
            </w:r>
            <w:r w:rsidRPr="00625335">
              <w:rPr>
                <w:rFonts w:ascii="Bookman Old Style" w:hAnsi="Bookman Old Style"/>
                <w:sz w:val="20"/>
                <w:szCs w:val="20"/>
              </w:rPr>
              <w:t xml:space="preserve"> </w:t>
            </w:r>
          </w:p>
        </w:tc>
      </w:tr>
      <w:tr w:rsidR="009E52F4" w14:paraId="34E964B4" w14:textId="77777777" w:rsidTr="00625335">
        <w:tc>
          <w:tcPr>
            <w:tcW w:w="918" w:type="dxa"/>
          </w:tcPr>
          <w:p w14:paraId="2ED082DB"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4</w:t>
            </w:r>
          </w:p>
        </w:tc>
        <w:tc>
          <w:tcPr>
            <w:tcW w:w="2970" w:type="dxa"/>
          </w:tcPr>
          <w:p w14:paraId="1038E3FA"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The Theory of Economic Integration</w:t>
            </w:r>
          </w:p>
        </w:tc>
        <w:tc>
          <w:tcPr>
            <w:tcW w:w="5688" w:type="dxa"/>
          </w:tcPr>
          <w:p w14:paraId="718EAE2E"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09BD1C0A" w14:textId="77777777" w:rsidR="0013688C" w:rsidRPr="00625335" w:rsidRDefault="0013688C"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Viner, J. 1950. </w:t>
            </w:r>
            <w:r w:rsidRPr="00625335">
              <w:rPr>
                <w:rFonts w:ascii="Bookman Old Style" w:hAnsi="Bookman Old Style"/>
                <w:i/>
                <w:iCs/>
                <w:sz w:val="20"/>
                <w:szCs w:val="20"/>
              </w:rPr>
              <w:t>The Customs Union Issue</w:t>
            </w:r>
            <w:r w:rsidRPr="00625335">
              <w:rPr>
                <w:rFonts w:ascii="Bookman Old Style" w:hAnsi="Bookman Old Style"/>
                <w:sz w:val="20"/>
                <w:szCs w:val="20"/>
              </w:rPr>
              <w:t>. Carnegie Endowment for International Peace, New York.</w:t>
            </w:r>
          </w:p>
          <w:p w14:paraId="36E972E4" w14:textId="77777777" w:rsidR="00A95BBE" w:rsidRPr="00625335" w:rsidRDefault="0013688C" w:rsidP="00625335">
            <w:pPr>
              <w:ind w:left="702" w:hanging="702"/>
              <w:jc w:val="both"/>
              <w:rPr>
                <w:rFonts w:ascii="Bookman Old Style" w:hAnsi="Bookman Old Style"/>
                <w:sz w:val="20"/>
                <w:szCs w:val="20"/>
              </w:rPr>
            </w:pPr>
            <w:proofErr w:type="spellStart"/>
            <w:r w:rsidRPr="00625335">
              <w:rPr>
                <w:rFonts w:ascii="Bookman Old Style" w:hAnsi="Bookman Old Style"/>
                <w:sz w:val="20"/>
                <w:szCs w:val="20"/>
              </w:rPr>
              <w:t>Khadan</w:t>
            </w:r>
            <w:proofErr w:type="spellEnd"/>
            <w:r w:rsidRPr="00625335">
              <w:rPr>
                <w:rFonts w:ascii="Bookman Old Style" w:hAnsi="Bookman Old Style"/>
                <w:sz w:val="20"/>
                <w:szCs w:val="20"/>
              </w:rPr>
              <w:t xml:space="preserve">, J. and R. Hosein. 2013. “New Empirical Insights into the “Natural Trading Partner” Hypothesis for CARICOM Countries.” Munich Personal </w:t>
            </w:r>
            <w:proofErr w:type="spellStart"/>
            <w:r w:rsidRPr="00625335">
              <w:rPr>
                <w:rFonts w:ascii="Bookman Old Style" w:hAnsi="Bookman Old Style"/>
                <w:sz w:val="20"/>
                <w:szCs w:val="20"/>
              </w:rPr>
              <w:t>RePEc</w:t>
            </w:r>
            <w:proofErr w:type="spellEnd"/>
            <w:r w:rsidRPr="00625335">
              <w:rPr>
                <w:rFonts w:ascii="Bookman Old Style" w:hAnsi="Bookman Old Style"/>
                <w:sz w:val="20"/>
                <w:szCs w:val="20"/>
              </w:rPr>
              <w:t xml:space="preserve"> Archive Paper No. 50493. </w:t>
            </w:r>
          </w:p>
        </w:tc>
      </w:tr>
      <w:tr w:rsidR="009E52F4" w14:paraId="5482FB38" w14:textId="77777777" w:rsidTr="00625335">
        <w:tc>
          <w:tcPr>
            <w:tcW w:w="918" w:type="dxa"/>
          </w:tcPr>
          <w:p w14:paraId="78C918FD"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5</w:t>
            </w:r>
          </w:p>
        </w:tc>
        <w:tc>
          <w:tcPr>
            <w:tcW w:w="2970" w:type="dxa"/>
          </w:tcPr>
          <w:p w14:paraId="55D0ACAD"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Regional Economic Partnership Agreements: The CARIFORUM Experience</w:t>
            </w:r>
          </w:p>
        </w:tc>
        <w:tc>
          <w:tcPr>
            <w:tcW w:w="5688" w:type="dxa"/>
          </w:tcPr>
          <w:p w14:paraId="417D51F9"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7FBE9139" w14:textId="77777777" w:rsidR="0013688C" w:rsidRPr="00625335" w:rsidRDefault="0013688C"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Greenaway, D. and C. Milner. 2003. "A Grim REPA?" </w:t>
            </w:r>
            <w:r w:rsidRPr="00625335">
              <w:rPr>
                <w:rFonts w:ascii="Bookman Old Style" w:hAnsi="Bookman Old Style"/>
                <w:i/>
                <w:iCs/>
                <w:sz w:val="20"/>
                <w:szCs w:val="20"/>
              </w:rPr>
              <w:t xml:space="preserve">University of Nottingham Internationalization of Economic Policy Research Paper. </w:t>
            </w:r>
            <w:r w:rsidRPr="00625335">
              <w:rPr>
                <w:rFonts w:ascii="Bookman Old Style" w:hAnsi="Bookman Old Style"/>
                <w:sz w:val="20"/>
                <w:szCs w:val="20"/>
              </w:rPr>
              <w:t>Vol. 03. no. 30.</w:t>
            </w:r>
          </w:p>
          <w:p w14:paraId="4CD63AC2" w14:textId="77777777" w:rsidR="0013688C" w:rsidRPr="00625335" w:rsidRDefault="0013688C"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Greenaway, D. and C. Milner. 2006. “EU Preferential Trading Arrangements with the Caribbean: A Grim Regional Economic Partnership Agreements?” </w:t>
            </w:r>
            <w:r w:rsidRPr="00625335">
              <w:rPr>
                <w:rFonts w:ascii="Bookman Old Style" w:hAnsi="Bookman Old Style"/>
                <w:i/>
                <w:sz w:val="20"/>
                <w:szCs w:val="20"/>
              </w:rPr>
              <w:t xml:space="preserve">Journal of Economic Integration </w:t>
            </w:r>
            <w:r w:rsidRPr="00625335">
              <w:rPr>
                <w:rFonts w:ascii="Bookman Old Style" w:hAnsi="Bookman Old Style"/>
                <w:sz w:val="20"/>
                <w:szCs w:val="20"/>
              </w:rPr>
              <w:t>21 (4): 657-680.</w:t>
            </w:r>
          </w:p>
          <w:p w14:paraId="5198F27A" w14:textId="77777777" w:rsidR="0013688C" w:rsidRPr="00625335" w:rsidRDefault="0013688C" w:rsidP="00625335">
            <w:pPr>
              <w:ind w:left="702" w:hanging="702"/>
              <w:jc w:val="both"/>
              <w:rPr>
                <w:rFonts w:ascii="Bookman Old Style" w:hAnsi="Bookman Old Style"/>
                <w:sz w:val="20"/>
                <w:szCs w:val="20"/>
              </w:rPr>
            </w:pPr>
            <w:r w:rsidRPr="00625335">
              <w:rPr>
                <w:rFonts w:ascii="Bookman Old Style" w:hAnsi="Bookman Old Style"/>
                <w:sz w:val="20"/>
                <w:szCs w:val="20"/>
              </w:rPr>
              <w:t xml:space="preserve">Nicholls, S., J. Christopher-Nicholls, and P. </w:t>
            </w:r>
            <w:proofErr w:type="spellStart"/>
            <w:r w:rsidRPr="00625335">
              <w:rPr>
                <w:rFonts w:ascii="Bookman Old Style" w:hAnsi="Bookman Old Style"/>
                <w:sz w:val="20"/>
                <w:szCs w:val="20"/>
              </w:rPr>
              <w:t>Colthrust</w:t>
            </w:r>
            <w:proofErr w:type="spellEnd"/>
            <w:r w:rsidRPr="00625335">
              <w:rPr>
                <w:rFonts w:ascii="Bookman Old Style" w:hAnsi="Bookman Old Style"/>
                <w:sz w:val="20"/>
                <w:szCs w:val="20"/>
              </w:rPr>
              <w:t xml:space="preserve">. 2000. “Evaluating the Fiscal Impact of a Regional Partnership Agreement between the European Union and CARICOM.” </w:t>
            </w:r>
          </w:p>
          <w:p w14:paraId="739B0F87" w14:textId="77777777" w:rsidR="0013688C" w:rsidRPr="00625335" w:rsidRDefault="0013688C" w:rsidP="00625335">
            <w:pPr>
              <w:autoSpaceDE w:val="0"/>
              <w:autoSpaceDN w:val="0"/>
              <w:adjustRightInd w:val="0"/>
              <w:ind w:left="702" w:hanging="702"/>
              <w:jc w:val="both"/>
              <w:rPr>
                <w:rFonts w:ascii="Bookman Old Style" w:hAnsi="Bookman Old Style"/>
                <w:i/>
                <w:sz w:val="20"/>
                <w:szCs w:val="20"/>
              </w:rPr>
            </w:pPr>
            <w:r w:rsidRPr="00625335">
              <w:rPr>
                <w:rFonts w:ascii="Bookman Old Style" w:hAnsi="Bookman Old Style"/>
                <w:sz w:val="20"/>
                <w:szCs w:val="20"/>
              </w:rPr>
              <w:t xml:space="preserve">Bhagwati, J., Greenaway D., and Panagariya, A., (1998), “Trading Preferentially: Theory and Policy”. </w:t>
            </w:r>
            <w:r w:rsidRPr="00625335">
              <w:rPr>
                <w:rFonts w:ascii="Bookman Old Style" w:hAnsi="Bookman Old Style"/>
                <w:i/>
                <w:sz w:val="20"/>
                <w:szCs w:val="20"/>
              </w:rPr>
              <w:t xml:space="preserve">Economic Journal </w:t>
            </w:r>
            <w:r w:rsidRPr="00625335">
              <w:rPr>
                <w:rFonts w:ascii="Bookman Old Style" w:hAnsi="Bookman Old Style"/>
                <w:sz w:val="20"/>
                <w:szCs w:val="20"/>
              </w:rPr>
              <w:t>108(449), 1128-1148</w:t>
            </w:r>
            <w:r w:rsidRPr="00625335">
              <w:rPr>
                <w:rFonts w:ascii="Bookman Old Style" w:hAnsi="Bookman Old Style"/>
                <w:i/>
                <w:sz w:val="20"/>
                <w:szCs w:val="20"/>
              </w:rPr>
              <w:t xml:space="preserve">. </w:t>
            </w:r>
          </w:p>
          <w:p w14:paraId="1EAFACC0" w14:textId="77777777" w:rsidR="0013688C" w:rsidRPr="00625335" w:rsidRDefault="0013688C"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Hosein R. 2008. “CARIFORUM-EU Economic Partnership Agreement: The welfare impact and implications for policy in Trinidad and Tobago.” </w:t>
            </w:r>
            <w:r w:rsidRPr="00625335">
              <w:rPr>
                <w:rFonts w:ascii="Bookman Old Style" w:hAnsi="Bookman Old Style"/>
                <w:i/>
                <w:sz w:val="20"/>
                <w:szCs w:val="20"/>
              </w:rPr>
              <w:t>Journal of Business, Finance &amp; Economics In Emerging Economies</w:t>
            </w:r>
            <w:r w:rsidRPr="00625335">
              <w:rPr>
                <w:rFonts w:ascii="Bookman Old Style" w:hAnsi="Bookman Old Style"/>
                <w:sz w:val="20"/>
                <w:szCs w:val="20"/>
              </w:rPr>
              <w:t xml:space="preserve"> 3(1): 217-248. </w:t>
            </w:r>
          </w:p>
        </w:tc>
      </w:tr>
      <w:tr w:rsidR="009E52F4" w14:paraId="4E107C37" w14:textId="77777777" w:rsidTr="00625335">
        <w:tc>
          <w:tcPr>
            <w:tcW w:w="918" w:type="dxa"/>
          </w:tcPr>
          <w:p w14:paraId="3FEC7965"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6</w:t>
            </w:r>
          </w:p>
        </w:tc>
        <w:tc>
          <w:tcPr>
            <w:tcW w:w="2970" w:type="dxa"/>
          </w:tcPr>
          <w:p w14:paraId="6DFA00AA"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The Rapid Growth of BRICS and Implications for the CARICOM Region</w:t>
            </w:r>
          </w:p>
        </w:tc>
        <w:tc>
          <w:tcPr>
            <w:tcW w:w="5688" w:type="dxa"/>
          </w:tcPr>
          <w:p w14:paraId="2AF865F5"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166C2692" w14:textId="77777777" w:rsidR="00786B4A" w:rsidRPr="00625335" w:rsidRDefault="00786B4A" w:rsidP="00625335">
            <w:pPr>
              <w:pStyle w:val="NoSpacing"/>
              <w:ind w:left="702" w:hanging="702"/>
              <w:jc w:val="both"/>
              <w:rPr>
                <w:rFonts w:ascii="Bookman Old Style" w:hAnsi="Bookman Old Style"/>
                <w:sz w:val="20"/>
                <w:szCs w:val="20"/>
              </w:rPr>
            </w:pPr>
            <w:proofErr w:type="spellStart"/>
            <w:r w:rsidRPr="00625335">
              <w:rPr>
                <w:rFonts w:ascii="Bookman Old Style" w:hAnsi="Bookman Old Style"/>
                <w:sz w:val="20"/>
                <w:szCs w:val="20"/>
              </w:rPr>
              <w:t>Khadan</w:t>
            </w:r>
            <w:proofErr w:type="spellEnd"/>
            <w:r w:rsidRPr="00625335">
              <w:rPr>
                <w:rFonts w:ascii="Bookman Old Style" w:hAnsi="Bookman Old Style"/>
                <w:sz w:val="20"/>
                <w:szCs w:val="20"/>
              </w:rPr>
              <w:t xml:space="preserve">, J. and R. Hosein. 2012. </w:t>
            </w:r>
            <w:r w:rsidRPr="00625335">
              <w:rPr>
                <w:rFonts w:ascii="Bookman Old Style" w:eastAsia="Arial Unicode MS" w:hAnsi="Bookman Old Style" w:cs="Tahoma"/>
                <w:bCs/>
                <w:sz w:val="20"/>
                <w:szCs w:val="20"/>
              </w:rPr>
              <w:t xml:space="preserve">The Impact of Emerging Markets (BRICs) on CARICOM. </w:t>
            </w:r>
            <w:r w:rsidRPr="00625335">
              <w:rPr>
                <w:rFonts w:ascii="Bookman Old Style" w:eastAsia="Arial Unicode MS" w:hAnsi="Bookman Old Style" w:cs="Tahoma"/>
                <w:i/>
                <w:iCs/>
                <w:sz w:val="20"/>
                <w:szCs w:val="20"/>
              </w:rPr>
              <w:t>Bank of Valletta Review</w:t>
            </w:r>
            <w:r w:rsidR="008F2462" w:rsidRPr="00625335">
              <w:rPr>
                <w:rFonts w:ascii="Bookman Old Style" w:eastAsia="Arial Unicode MS" w:hAnsi="Bookman Old Style" w:cs="Tahoma"/>
                <w:iCs/>
                <w:sz w:val="20"/>
                <w:szCs w:val="20"/>
              </w:rPr>
              <w:t xml:space="preserve"> 45(</w:t>
            </w:r>
            <w:r w:rsidRPr="00625335">
              <w:rPr>
                <w:rFonts w:ascii="Bookman Old Style" w:eastAsia="Arial Unicode MS" w:hAnsi="Bookman Old Style" w:cs="Tahoma"/>
                <w:iCs/>
                <w:sz w:val="20"/>
                <w:szCs w:val="20"/>
              </w:rPr>
              <w:t>Spring</w:t>
            </w:r>
            <w:r w:rsidR="008F2462" w:rsidRPr="00625335">
              <w:rPr>
                <w:rFonts w:ascii="Bookman Old Style" w:eastAsia="Arial Unicode MS" w:hAnsi="Bookman Old Style" w:cs="Tahoma"/>
                <w:iCs/>
                <w:sz w:val="20"/>
                <w:szCs w:val="20"/>
              </w:rPr>
              <w:t>)</w:t>
            </w:r>
            <w:r w:rsidRPr="00625335">
              <w:rPr>
                <w:rFonts w:ascii="Bookman Old Style" w:eastAsia="Arial Unicode MS" w:hAnsi="Bookman Old Style" w:cs="Tahoma"/>
                <w:iCs/>
                <w:sz w:val="20"/>
                <w:szCs w:val="20"/>
              </w:rPr>
              <w:t>.</w:t>
            </w:r>
          </w:p>
        </w:tc>
      </w:tr>
      <w:tr w:rsidR="009E52F4" w14:paraId="259BBE45" w14:textId="77777777" w:rsidTr="00625335">
        <w:tc>
          <w:tcPr>
            <w:tcW w:w="918" w:type="dxa"/>
          </w:tcPr>
          <w:p w14:paraId="697A2744"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7</w:t>
            </w:r>
          </w:p>
        </w:tc>
        <w:tc>
          <w:tcPr>
            <w:tcW w:w="2970" w:type="dxa"/>
          </w:tcPr>
          <w:p w14:paraId="0E413B04"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Intra - Industry Trade: Applications to a Small Integration Bloc</w:t>
            </w:r>
          </w:p>
        </w:tc>
        <w:tc>
          <w:tcPr>
            <w:tcW w:w="5688" w:type="dxa"/>
          </w:tcPr>
          <w:p w14:paraId="7781BDB9"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47586807" w14:textId="77777777" w:rsidR="008F2462" w:rsidRPr="00625335" w:rsidRDefault="008F2462" w:rsidP="00625335">
            <w:pPr>
              <w:pStyle w:val="NoSpacing"/>
              <w:ind w:left="702" w:hanging="702"/>
              <w:jc w:val="both"/>
              <w:rPr>
                <w:rFonts w:ascii="Bookman Old Style" w:hAnsi="Bookman Old Style"/>
                <w:sz w:val="20"/>
                <w:szCs w:val="20"/>
              </w:rPr>
            </w:pPr>
            <w:r w:rsidRPr="00625335">
              <w:rPr>
                <w:rFonts w:ascii="Bookman Old Style" w:hAnsi="Bookman Old Style"/>
                <w:sz w:val="20"/>
                <w:szCs w:val="20"/>
              </w:rPr>
              <w:t xml:space="preserve">Hosein, R. and R. </w:t>
            </w:r>
            <w:proofErr w:type="spellStart"/>
            <w:r w:rsidRPr="00625335">
              <w:rPr>
                <w:rFonts w:ascii="Bookman Old Style" w:hAnsi="Bookman Old Style"/>
                <w:sz w:val="20"/>
                <w:szCs w:val="20"/>
              </w:rPr>
              <w:t>Seecharan</w:t>
            </w:r>
            <w:proofErr w:type="spellEnd"/>
            <w:r w:rsidRPr="00625335">
              <w:rPr>
                <w:rFonts w:ascii="Bookman Old Style" w:hAnsi="Bookman Old Style"/>
                <w:sz w:val="20"/>
                <w:szCs w:val="20"/>
              </w:rPr>
              <w:t xml:space="preserve">. 2013. </w:t>
            </w:r>
            <w:r w:rsidRPr="00625335">
              <w:rPr>
                <w:rFonts w:ascii="Bookman Old Style" w:hAnsi="Bookman Old Style"/>
                <w:bCs/>
                <w:sz w:val="20"/>
                <w:szCs w:val="20"/>
              </w:rPr>
              <w:t xml:space="preserve">Bilateral Marginal Intra Industry Trade (MIIT): Selected Caricom Cases. </w:t>
            </w:r>
            <w:r w:rsidRPr="00625335">
              <w:rPr>
                <w:rFonts w:ascii="Bookman Old Style" w:hAnsi="Bookman Old Style"/>
                <w:i/>
                <w:sz w:val="20"/>
                <w:szCs w:val="20"/>
              </w:rPr>
              <w:t>Global Development Studies</w:t>
            </w:r>
            <w:r w:rsidRPr="00625335">
              <w:rPr>
                <w:rFonts w:ascii="Bookman Old Style" w:hAnsi="Bookman Old Style"/>
                <w:sz w:val="20"/>
                <w:szCs w:val="20"/>
              </w:rPr>
              <w:t xml:space="preserve"> 7(1-2): 1-36.</w:t>
            </w:r>
          </w:p>
        </w:tc>
      </w:tr>
      <w:tr w:rsidR="009E52F4" w14:paraId="5FD7C5E5" w14:textId="77777777" w:rsidTr="00625335">
        <w:tc>
          <w:tcPr>
            <w:tcW w:w="918" w:type="dxa"/>
          </w:tcPr>
          <w:p w14:paraId="62DF1BDB"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8</w:t>
            </w:r>
          </w:p>
        </w:tc>
        <w:tc>
          <w:tcPr>
            <w:tcW w:w="2970" w:type="dxa"/>
          </w:tcPr>
          <w:p w14:paraId="243C82A4"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Market access: Trade Facilitation and Aid for Trade Integration in the CARICOM</w:t>
            </w:r>
          </w:p>
        </w:tc>
        <w:tc>
          <w:tcPr>
            <w:tcW w:w="5688" w:type="dxa"/>
          </w:tcPr>
          <w:p w14:paraId="406C9E80"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220974EF" w14:textId="77777777" w:rsidR="008F2462" w:rsidRPr="00625335" w:rsidRDefault="008F2462" w:rsidP="00625335">
            <w:pPr>
              <w:pStyle w:val="NoSpacing"/>
              <w:jc w:val="both"/>
              <w:rPr>
                <w:rFonts w:ascii="Bookman Old Style" w:hAnsi="Bookman Old Style"/>
                <w:sz w:val="20"/>
                <w:szCs w:val="20"/>
              </w:rPr>
            </w:pPr>
          </w:p>
        </w:tc>
      </w:tr>
      <w:tr w:rsidR="009E52F4" w14:paraId="748F99EE" w14:textId="77777777" w:rsidTr="00625335">
        <w:tc>
          <w:tcPr>
            <w:tcW w:w="918" w:type="dxa"/>
          </w:tcPr>
          <w:p w14:paraId="73CFD08F"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9</w:t>
            </w:r>
          </w:p>
        </w:tc>
        <w:tc>
          <w:tcPr>
            <w:tcW w:w="2970" w:type="dxa"/>
          </w:tcPr>
          <w:p w14:paraId="0680ED26"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Strengthening CARICOM regional integration in the 21st century – A survey of key studies and their recommendations</w:t>
            </w:r>
          </w:p>
        </w:tc>
        <w:tc>
          <w:tcPr>
            <w:tcW w:w="5688" w:type="dxa"/>
          </w:tcPr>
          <w:p w14:paraId="1B166D33"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4667FF50" w14:textId="77777777" w:rsidR="008F2462" w:rsidRPr="00625335" w:rsidRDefault="008F2462" w:rsidP="00625335">
            <w:pPr>
              <w:pStyle w:val="NoSpacing"/>
              <w:ind w:left="720" w:hanging="720"/>
              <w:jc w:val="both"/>
              <w:rPr>
                <w:rFonts w:ascii="Bookman Old Style" w:hAnsi="Bookman Old Style"/>
                <w:sz w:val="20"/>
                <w:szCs w:val="20"/>
              </w:rPr>
            </w:pPr>
            <w:proofErr w:type="spellStart"/>
            <w:r w:rsidRPr="00625335">
              <w:rPr>
                <w:rFonts w:ascii="Bookman Old Style" w:hAnsi="Bookman Old Style"/>
                <w:sz w:val="20"/>
                <w:szCs w:val="20"/>
              </w:rPr>
              <w:t>Bourne</w:t>
            </w:r>
            <w:proofErr w:type="spellEnd"/>
            <w:r w:rsidRPr="00625335">
              <w:rPr>
                <w:rFonts w:ascii="Bookman Old Style" w:hAnsi="Bookman Old Style"/>
                <w:sz w:val="20"/>
                <w:szCs w:val="20"/>
              </w:rPr>
              <w:t>, C. 1988. “</w:t>
            </w:r>
            <w:r w:rsidRPr="00625335">
              <w:rPr>
                <w:rFonts w:ascii="Bookman Old Style" w:hAnsi="Bookman Old Style"/>
                <w:i/>
                <w:iCs/>
                <w:sz w:val="20"/>
                <w:szCs w:val="20"/>
              </w:rPr>
              <w:t>Caribbean Development to the Year 2000: Challenges, Prospects and Policies.”</w:t>
            </w:r>
            <w:r w:rsidRPr="00625335">
              <w:rPr>
                <w:rFonts w:ascii="Bookman Old Style" w:hAnsi="Bookman Old Style"/>
                <w:sz w:val="20"/>
                <w:szCs w:val="20"/>
              </w:rPr>
              <w:t xml:space="preserve"> Commonwealth Secretariat, London.</w:t>
            </w:r>
          </w:p>
          <w:p w14:paraId="1EBA8C56" w14:textId="77777777" w:rsidR="008F2462" w:rsidRPr="00625335" w:rsidRDefault="008F2462" w:rsidP="00625335">
            <w:pPr>
              <w:pStyle w:val="NoSpacing"/>
              <w:ind w:left="720" w:hanging="720"/>
              <w:jc w:val="both"/>
              <w:rPr>
                <w:rFonts w:ascii="Bookman Old Style" w:hAnsi="Bookman Old Style"/>
                <w:sz w:val="20"/>
                <w:szCs w:val="20"/>
              </w:rPr>
            </w:pPr>
            <w:proofErr w:type="spellStart"/>
            <w:r w:rsidRPr="00625335">
              <w:rPr>
                <w:rFonts w:ascii="Bookman Old Style" w:hAnsi="Bookman Old Style"/>
                <w:sz w:val="20"/>
                <w:szCs w:val="20"/>
              </w:rPr>
              <w:t>Bonnick</w:t>
            </w:r>
            <w:proofErr w:type="spellEnd"/>
            <w:r w:rsidRPr="00625335">
              <w:rPr>
                <w:rFonts w:ascii="Bookman Old Style" w:hAnsi="Bookman Old Style"/>
                <w:sz w:val="20"/>
                <w:szCs w:val="20"/>
              </w:rPr>
              <w:t xml:space="preserve"> G. 2000. “</w:t>
            </w:r>
            <w:r w:rsidRPr="00625335">
              <w:rPr>
                <w:rFonts w:ascii="Bookman Old Style" w:hAnsi="Bookman Old Style"/>
                <w:bCs/>
                <w:iCs/>
                <w:sz w:val="20"/>
                <w:szCs w:val="20"/>
              </w:rPr>
              <w:t>Toward a Caribbean Vision 2020: A Regional</w:t>
            </w:r>
            <w:r w:rsidRPr="00625335">
              <w:rPr>
                <w:rFonts w:ascii="Bookman Old Style" w:hAnsi="Bookman Old Style"/>
                <w:sz w:val="20"/>
                <w:szCs w:val="20"/>
              </w:rPr>
              <w:t xml:space="preserve"> </w:t>
            </w:r>
            <w:r w:rsidRPr="00625335">
              <w:rPr>
                <w:rFonts w:ascii="Bookman Old Style" w:hAnsi="Bookman Old Style"/>
                <w:bCs/>
                <w:iCs/>
                <w:sz w:val="20"/>
                <w:szCs w:val="20"/>
              </w:rPr>
              <w:t>Perspective on Development Challenges, Opportunities and</w:t>
            </w:r>
            <w:r w:rsidRPr="00625335">
              <w:rPr>
                <w:rFonts w:ascii="Bookman Old Style" w:hAnsi="Bookman Old Style"/>
                <w:sz w:val="20"/>
                <w:szCs w:val="20"/>
              </w:rPr>
              <w:t xml:space="preserve"> </w:t>
            </w:r>
            <w:r w:rsidRPr="00625335">
              <w:rPr>
                <w:rFonts w:ascii="Bookman Old Style" w:hAnsi="Bookman Old Style"/>
                <w:bCs/>
                <w:iCs/>
                <w:sz w:val="20"/>
                <w:szCs w:val="20"/>
              </w:rPr>
              <w:t>Strategies for the Next Decade”</w:t>
            </w:r>
            <w:r w:rsidRPr="00625335">
              <w:rPr>
                <w:rFonts w:ascii="Bookman Old Style" w:hAnsi="Bookman Old Style"/>
                <w:bCs/>
                <w:i/>
                <w:iCs/>
                <w:sz w:val="20"/>
                <w:szCs w:val="20"/>
              </w:rPr>
              <w:t xml:space="preserve">. </w:t>
            </w:r>
            <w:r w:rsidRPr="00625335">
              <w:rPr>
                <w:rFonts w:ascii="Bookman Old Style" w:hAnsi="Bookman Old Style"/>
                <w:sz w:val="20"/>
                <w:szCs w:val="20"/>
              </w:rPr>
              <w:t>Washington, D.C., World Bank - Caribbean Group for Cooperation in Economic Development.</w:t>
            </w:r>
          </w:p>
          <w:p w14:paraId="75A684C6" w14:textId="77777777" w:rsidR="008F2462" w:rsidRPr="00625335" w:rsidRDefault="008F2462" w:rsidP="00625335">
            <w:pPr>
              <w:pStyle w:val="NoSpacing"/>
              <w:ind w:left="720" w:hanging="720"/>
              <w:jc w:val="both"/>
              <w:rPr>
                <w:rStyle w:val="Hyperlink"/>
                <w:rFonts w:ascii="Bookman Old Style" w:hAnsi="Bookman Old Style"/>
                <w:color w:val="auto"/>
                <w:sz w:val="20"/>
                <w:szCs w:val="20"/>
              </w:rPr>
            </w:pPr>
            <w:r w:rsidRPr="00625335">
              <w:rPr>
                <w:rFonts w:ascii="Bookman Old Style" w:hAnsi="Bookman Old Style"/>
                <w:sz w:val="20"/>
                <w:szCs w:val="20"/>
              </w:rPr>
              <w:t>OECS. 2000. “</w:t>
            </w:r>
            <w:r w:rsidRPr="00625335">
              <w:rPr>
                <w:rFonts w:ascii="Bookman Old Style" w:hAnsi="Bookman Old Style"/>
                <w:i/>
                <w:iCs/>
                <w:sz w:val="20"/>
                <w:szCs w:val="20"/>
              </w:rPr>
              <w:t>Toward an OECS Development Strategy</w:t>
            </w:r>
            <w:r w:rsidRPr="00625335">
              <w:rPr>
                <w:rFonts w:ascii="Bookman Old Style" w:hAnsi="Bookman Old Style"/>
                <w:sz w:val="20"/>
                <w:szCs w:val="20"/>
              </w:rPr>
              <w:t xml:space="preserve">.” Available at: </w:t>
            </w:r>
            <w:hyperlink r:id="rId7" w:history="1">
              <w:r w:rsidRPr="00625335">
                <w:rPr>
                  <w:rStyle w:val="Hyperlink"/>
                  <w:rFonts w:ascii="Bookman Old Style" w:hAnsi="Bookman Old Style"/>
                  <w:color w:val="auto"/>
                  <w:sz w:val="20"/>
                  <w:szCs w:val="20"/>
                </w:rPr>
                <w:t>http://www.unicef.org/lac/spbarbados/Planning/Regional/general/DevstrategyOECS_.pdf</w:t>
              </w:r>
            </w:hyperlink>
          </w:p>
          <w:p w14:paraId="10408F5A" w14:textId="77777777" w:rsidR="002C0105" w:rsidRPr="00625335" w:rsidRDefault="002C0105"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Caribbean Trade and Adjustment Group. 2001. “</w:t>
            </w:r>
            <w:r w:rsidRPr="00625335">
              <w:rPr>
                <w:rFonts w:ascii="Bookman Old Style" w:hAnsi="Bookman Old Style"/>
                <w:iCs/>
                <w:sz w:val="20"/>
                <w:szCs w:val="20"/>
              </w:rPr>
              <w:t>Improving Competitiveness for Caribbean Development</w:t>
            </w:r>
            <w:r w:rsidRPr="00625335">
              <w:rPr>
                <w:rFonts w:ascii="Bookman Old Style" w:hAnsi="Bookman Old Style"/>
                <w:i/>
                <w:iCs/>
                <w:sz w:val="20"/>
                <w:szCs w:val="20"/>
              </w:rPr>
              <w:t xml:space="preserve">.” Report for the Caribbean Trade and adjustment group prepared at the request of the CRNM and the CARICOM Secretariat </w:t>
            </w:r>
            <w:r w:rsidRPr="00625335">
              <w:rPr>
                <w:rFonts w:ascii="Bookman Old Style" w:hAnsi="Bookman Old Style"/>
                <w:sz w:val="20"/>
                <w:szCs w:val="20"/>
              </w:rPr>
              <w:t>(CRNM/CTAG/Final report/Rev2/08/01, Christ Church, Barbados.</w:t>
            </w:r>
          </w:p>
          <w:p w14:paraId="17C82712" w14:textId="77777777" w:rsidR="008F2462" w:rsidRPr="00625335" w:rsidRDefault="002C0105"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World Bank. 2005. “A Time to Choose: Caribbean Development in the 21st Century”. Caribbean Country Management Unit, Poverty Reduction and Economic Management Unit, Latin America and the Caribbean Region. Washington, D.C</w:t>
            </w:r>
          </w:p>
        </w:tc>
      </w:tr>
      <w:tr w:rsidR="009E52F4" w14:paraId="135AC9FC" w14:textId="77777777" w:rsidTr="00625335">
        <w:tc>
          <w:tcPr>
            <w:tcW w:w="918" w:type="dxa"/>
          </w:tcPr>
          <w:p w14:paraId="441128BC"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10</w:t>
            </w:r>
          </w:p>
        </w:tc>
        <w:tc>
          <w:tcPr>
            <w:tcW w:w="2970" w:type="dxa"/>
          </w:tcPr>
          <w:p w14:paraId="61549614"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Unpausing the CSME: The way forward</w:t>
            </w:r>
          </w:p>
        </w:tc>
        <w:tc>
          <w:tcPr>
            <w:tcW w:w="5688" w:type="dxa"/>
          </w:tcPr>
          <w:p w14:paraId="050E58AF"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126CD5C5" w14:textId="77777777" w:rsidR="002C0105" w:rsidRPr="00625335" w:rsidRDefault="002C0105" w:rsidP="00625335">
            <w:pPr>
              <w:pStyle w:val="NoSpacing"/>
              <w:ind w:left="720" w:hanging="720"/>
              <w:jc w:val="both"/>
              <w:rPr>
                <w:rFonts w:ascii="Bookman Old Style" w:hAnsi="Bookman Old Style"/>
                <w:sz w:val="20"/>
                <w:szCs w:val="20"/>
                <w:lang w:eastAsia="en-TT"/>
              </w:rPr>
            </w:pPr>
            <w:r w:rsidRPr="00625335">
              <w:rPr>
                <w:rFonts w:ascii="Bookman Old Style" w:hAnsi="Bookman Old Style"/>
                <w:sz w:val="20"/>
                <w:szCs w:val="20"/>
                <w:lang w:eastAsia="en-TT"/>
              </w:rPr>
              <w:t xml:space="preserve">Girvan, Norman. 2012. “On The Left: CSME based on faulty concept.” Available at: </w:t>
            </w:r>
            <w:hyperlink r:id="rId8" w:history="1">
              <w:r w:rsidRPr="00625335">
                <w:rPr>
                  <w:rStyle w:val="Hyperlink"/>
                  <w:rFonts w:ascii="Bookman Old Style" w:hAnsi="Bookman Old Style"/>
                  <w:color w:val="auto"/>
                  <w:sz w:val="20"/>
                  <w:szCs w:val="20"/>
                  <w:lang w:eastAsia="en-TT"/>
                </w:rPr>
                <w:t>http://www.nationnews.com/print/237244/</w:t>
              </w:r>
            </w:hyperlink>
            <w:r w:rsidRPr="00625335">
              <w:rPr>
                <w:rFonts w:ascii="Bookman Old Style" w:hAnsi="Bookman Old Style"/>
                <w:sz w:val="20"/>
                <w:szCs w:val="20"/>
                <w:lang w:eastAsia="en-TT"/>
              </w:rPr>
              <w:t>.</w:t>
            </w:r>
          </w:p>
          <w:p w14:paraId="74518FC6" w14:textId="77777777" w:rsidR="002C0105" w:rsidRPr="00625335" w:rsidRDefault="002C0105" w:rsidP="00625335">
            <w:pPr>
              <w:pStyle w:val="NoSpacing"/>
              <w:ind w:left="702" w:hanging="702"/>
              <w:jc w:val="both"/>
              <w:rPr>
                <w:rStyle w:val="Hyperlink"/>
                <w:rFonts w:ascii="Bookman Old Style" w:hAnsi="Bookman Old Style"/>
                <w:color w:val="auto"/>
                <w:sz w:val="20"/>
                <w:szCs w:val="20"/>
                <w:lang w:eastAsia="en-TT"/>
              </w:rPr>
            </w:pPr>
            <w:r w:rsidRPr="00625335">
              <w:rPr>
                <w:rFonts w:ascii="Bookman Old Style" w:hAnsi="Bookman Old Style"/>
                <w:sz w:val="20"/>
                <w:szCs w:val="20"/>
                <w:lang w:eastAsia="en-TT"/>
              </w:rPr>
              <w:t>Girvan, Norman. 2013. “Reinventing The CSME”,</w:t>
            </w:r>
            <w:r w:rsidRPr="00625335">
              <w:rPr>
                <w:rFonts w:ascii="Bookman Old Style" w:hAnsi="Bookman Old Style"/>
                <w:sz w:val="20"/>
                <w:szCs w:val="20"/>
              </w:rPr>
              <w:t xml:space="preserve"> Address to The Caribbean Association of Judicial Officers 3</w:t>
            </w:r>
            <w:r w:rsidRPr="00625335">
              <w:rPr>
                <w:rFonts w:ascii="Bookman Old Style" w:hAnsi="Bookman Old Style"/>
                <w:sz w:val="20"/>
                <w:szCs w:val="20"/>
                <w:vertAlign w:val="superscript"/>
              </w:rPr>
              <w:t>rd</w:t>
            </w:r>
            <w:r w:rsidRPr="00625335">
              <w:rPr>
                <w:rFonts w:ascii="Bookman Old Style" w:hAnsi="Bookman Old Style"/>
                <w:sz w:val="20"/>
                <w:szCs w:val="20"/>
              </w:rPr>
              <w:t xml:space="preserve"> Biennial Conference Accra Beach Hotel, Bridgetown, Barbados 27 September 2013. Available at: </w:t>
            </w:r>
            <w:hyperlink r:id="rId9" w:history="1">
              <w:r w:rsidRPr="00625335">
                <w:rPr>
                  <w:rStyle w:val="Hyperlink"/>
                  <w:rFonts w:ascii="Bookman Old Style" w:hAnsi="Bookman Old Style"/>
                  <w:color w:val="auto"/>
                  <w:sz w:val="20"/>
                  <w:szCs w:val="20"/>
                  <w:lang w:eastAsia="en-TT"/>
                </w:rPr>
                <w:t>http://www.normangirvan.info/wp-content/uploads/2013/09/CAJO-ADDRESS-By-Girvan.pdf</w:t>
              </w:r>
            </w:hyperlink>
          </w:p>
          <w:p w14:paraId="78059B62" w14:textId="77777777" w:rsidR="002C0105" w:rsidRPr="00625335" w:rsidRDefault="002C0105" w:rsidP="00625335">
            <w:pPr>
              <w:pStyle w:val="NoSpacing"/>
              <w:ind w:left="720" w:hanging="720"/>
              <w:jc w:val="both"/>
              <w:rPr>
                <w:rFonts w:ascii="Bookman Old Style" w:hAnsi="Bookman Old Style"/>
                <w:sz w:val="20"/>
                <w:szCs w:val="20"/>
                <w:lang w:eastAsia="en-TT"/>
              </w:rPr>
            </w:pPr>
            <w:r w:rsidRPr="00625335">
              <w:rPr>
                <w:rFonts w:ascii="Bookman Old Style" w:hAnsi="Bookman Old Style"/>
                <w:sz w:val="20"/>
                <w:szCs w:val="20"/>
              </w:rPr>
              <w:t>McLean, S. 2014. “CARICOM Regional Integration: A Critical Assessment and Recommendations for the Way Forward”. Working Paper. United Nations Economic Commission for Latin America and the Caribbean, Port of Spain, Trinidad.</w:t>
            </w:r>
          </w:p>
          <w:p w14:paraId="0A26F391" w14:textId="77777777" w:rsidR="002C0105" w:rsidRPr="00625335" w:rsidRDefault="002C0105" w:rsidP="00625335">
            <w:pPr>
              <w:pStyle w:val="NoSpacing"/>
              <w:ind w:left="720" w:hanging="720"/>
              <w:jc w:val="both"/>
              <w:rPr>
                <w:rFonts w:ascii="Bookman Old Style" w:hAnsi="Bookman Old Style"/>
                <w:sz w:val="20"/>
                <w:szCs w:val="20"/>
              </w:rPr>
            </w:pPr>
            <w:r w:rsidRPr="00625335">
              <w:rPr>
                <w:rFonts w:ascii="Bookman Old Style" w:hAnsi="Bookman Old Style"/>
                <w:sz w:val="20"/>
                <w:szCs w:val="20"/>
              </w:rPr>
              <w:t xml:space="preserve">McLean, S. and G. Downes. 2013. </w:t>
            </w:r>
            <w:r w:rsidRPr="00625335">
              <w:rPr>
                <w:rFonts w:ascii="Bookman Old Style" w:hAnsi="Bookman Old Style"/>
                <w:i/>
                <w:sz w:val="20"/>
                <w:szCs w:val="20"/>
              </w:rPr>
              <w:t>Caribbean Community Regional Aid for Trade Strategy 2013–2015</w:t>
            </w:r>
            <w:r w:rsidRPr="00625335">
              <w:rPr>
                <w:rFonts w:ascii="Bookman Old Style" w:hAnsi="Bookman Old Style"/>
                <w:sz w:val="20"/>
                <w:szCs w:val="20"/>
              </w:rPr>
              <w:t>. CARICOM Secretariat, Guyana.</w:t>
            </w:r>
          </w:p>
        </w:tc>
      </w:tr>
      <w:tr w:rsidR="009E52F4" w14:paraId="1CAA13FF" w14:textId="77777777" w:rsidTr="00625335">
        <w:tc>
          <w:tcPr>
            <w:tcW w:w="918" w:type="dxa"/>
          </w:tcPr>
          <w:p w14:paraId="1D0386E4"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11</w:t>
            </w:r>
          </w:p>
        </w:tc>
        <w:tc>
          <w:tcPr>
            <w:tcW w:w="2970" w:type="dxa"/>
          </w:tcPr>
          <w:p w14:paraId="2B5A911A"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 xml:space="preserve">Economic Integration and the informal sector: The role of Informal commercial importers: Case Caribbean Higglers </w:t>
            </w:r>
          </w:p>
        </w:tc>
        <w:tc>
          <w:tcPr>
            <w:tcW w:w="5688" w:type="dxa"/>
          </w:tcPr>
          <w:p w14:paraId="4C7D55BB" w14:textId="77777777" w:rsidR="009E52F4"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7F4EC51D" w14:textId="77777777" w:rsidR="002C0105" w:rsidRPr="00625335" w:rsidRDefault="002C0105" w:rsidP="00625335">
            <w:pPr>
              <w:pStyle w:val="NoSpacing"/>
              <w:ind w:left="702" w:hanging="702"/>
              <w:jc w:val="both"/>
              <w:rPr>
                <w:rFonts w:ascii="Bookman Old Style" w:hAnsi="Bookman Old Style"/>
                <w:sz w:val="20"/>
                <w:szCs w:val="20"/>
              </w:rPr>
            </w:pPr>
            <w:r w:rsidRPr="00625335">
              <w:rPr>
                <w:rFonts w:ascii="Bookman Old Style" w:hAnsi="Bookman Old Style"/>
                <w:sz w:val="20"/>
                <w:szCs w:val="20"/>
              </w:rPr>
              <w:t xml:space="preserve">Hosein, R. and M. Franklin. 2014. </w:t>
            </w:r>
            <w:r w:rsidRPr="00625335">
              <w:rPr>
                <w:rFonts w:ascii="Bookman Old Style" w:hAnsi="Bookman Old Style"/>
                <w:i/>
                <w:sz w:val="20"/>
                <w:szCs w:val="20"/>
                <w:shd w:val="clear" w:color="auto" w:fill="FFFFFF"/>
              </w:rPr>
              <w:t xml:space="preserve">Informal Commercial Importers in the CARICOM, </w:t>
            </w:r>
            <w:r w:rsidRPr="00625335">
              <w:rPr>
                <w:rFonts w:ascii="Bookman Old Style" w:hAnsi="Bookman Old Style"/>
                <w:sz w:val="20"/>
                <w:szCs w:val="20"/>
                <w:shd w:val="clear" w:color="auto" w:fill="FFFFFF"/>
              </w:rPr>
              <w:t>UWIPRESS.</w:t>
            </w:r>
          </w:p>
          <w:p w14:paraId="0BECF61B" w14:textId="77777777" w:rsidR="002C0105" w:rsidRPr="00625335" w:rsidRDefault="002C0105" w:rsidP="00625335">
            <w:pPr>
              <w:pStyle w:val="NoSpacing"/>
              <w:jc w:val="both"/>
              <w:rPr>
                <w:rFonts w:ascii="Bookman Old Style" w:hAnsi="Bookman Old Style"/>
                <w:sz w:val="20"/>
                <w:szCs w:val="20"/>
              </w:rPr>
            </w:pPr>
          </w:p>
        </w:tc>
      </w:tr>
      <w:tr w:rsidR="009E52F4" w14:paraId="33704530" w14:textId="77777777" w:rsidTr="00625335">
        <w:tc>
          <w:tcPr>
            <w:tcW w:w="918" w:type="dxa"/>
          </w:tcPr>
          <w:p w14:paraId="43CDDB3A"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12</w:t>
            </w:r>
          </w:p>
        </w:tc>
        <w:tc>
          <w:tcPr>
            <w:tcW w:w="2970" w:type="dxa"/>
          </w:tcPr>
          <w:p w14:paraId="4B6025BF"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Economic Integration through Sports: Olympics, Athletics and building social cohesion in CARICOM.</w:t>
            </w:r>
          </w:p>
        </w:tc>
        <w:tc>
          <w:tcPr>
            <w:tcW w:w="5688" w:type="dxa"/>
          </w:tcPr>
          <w:p w14:paraId="4294FCE2" w14:textId="77777777" w:rsidR="00625335" w:rsidRPr="00625335" w:rsidRDefault="009F5EFE" w:rsidP="00625335">
            <w:pPr>
              <w:pStyle w:val="NoSpacing"/>
              <w:jc w:val="both"/>
              <w:rPr>
                <w:rFonts w:ascii="Bookman Old Style" w:hAnsi="Bookman Old Style"/>
                <w:sz w:val="20"/>
                <w:szCs w:val="20"/>
              </w:rPr>
            </w:pPr>
            <w:r w:rsidRPr="00625335">
              <w:rPr>
                <w:rFonts w:ascii="Bookman Old Style" w:hAnsi="Bookman Old Style"/>
                <w:sz w:val="20"/>
                <w:szCs w:val="20"/>
              </w:rPr>
              <w:t>Readings/Lecture notes will be provided to the class</w:t>
            </w:r>
          </w:p>
          <w:p w14:paraId="68B6448A" w14:textId="77777777" w:rsidR="00625335" w:rsidRPr="00625335" w:rsidRDefault="00625335" w:rsidP="00013C43">
            <w:pPr>
              <w:pStyle w:val="NoSpacing"/>
              <w:ind w:left="702" w:hanging="702"/>
              <w:jc w:val="both"/>
              <w:rPr>
                <w:rFonts w:ascii="Bookman Old Style" w:hAnsi="Bookman Old Style"/>
                <w:sz w:val="20"/>
                <w:szCs w:val="20"/>
              </w:rPr>
            </w:pPr>
            <w:r w:rsidRPr="00625335">
              <w:rPr>
                <w:rFonts w:ascii="Bookman Old Style" w:eastAsia="Arial Unicode MS" w:hAnsi="Bookman Old Style" w:cs="Tahoma"/>
                <w:sz w:val="20"/>
                <w:szCs w:val="20"/>
              </w:rPr>
              <w:t xml:space="preserve">Hosein, R., N. Paul, and J. </w:t>
            </w:r>
            <w:proofErr w:type="spellStart"/>
            <w:r w:rsidRPr="00625335">
              <w:rPr>
                <w:rFonts w:ascii="Bookman Old Style" w:eastAsia="Arial Unicode MS" w:hAnsi="Bookman Old Style" w:cs="Tahoma"/>
                <w:sz w:val="20"/>
                <w:szCs w:val="20"/>
              </w:rPr>
              <w:t>Khadan</w:t>
            </w:r>
            <w:proofErr w:type="spellEnd"/>
            <w:r w:rsidRPr="00625335">
              <w:rPr>
                <w:rFonts w:ascii="Bookman Old Style" w:eastAsia="Arial Unicode MS" w:hAnsi="Bookman Old Style" w:cs="Tahoma"/>
                <w:sz w:val="20"/>
                <w:szCs w:val="20"/>
              </w:rPr>
              <w:t xml:space="preserve">. 2013. “An assessment of the factors determining medal outcomes at the Beijing Olympics and implications for CARICOM economies.” </w:t>
            </w:r>
            <w:r w:rsidRPr="00625335">
              <w:rPr>
                <w:rFonts w:ascii="Bookman Old Style" w:eastAsia="Arial Unicode MS" w:hAnsi="Bookman Old Style" w:cs="Tahoma"/>
                <w:i/>
                <w:sz w:val="20"/>
                <w:szCs w:val="20"/>
              </w:rPr>
              <w:t>Social and Economic Studies</w:t>
            </w:r>
            <w:r w:rsidRPr="00625335">
              <w:rPr>
                <w:rFonts w:ascii="Bookman Old Style" w:eastAsia="Arial Unicode MS" w:hAnsi="Bookman Old Style" w:cs="Tahoma"/>
                <w:sz w:val="20"/>
                <w:szCs w:val="20"/>
              </w:rPr>
              <w:t>, March-June 2013, volume 62, issue ½.</w:t>
            </w:r>
          </w:p>
        </w:tc>
      </w:tr>
      <w:tr w:rsidR="009E52F4" w14:paraId="49FDEE5F" w14:textId="77777777" w:rsidTr="00625335">
        <w:tc>
          <w:tcPr>
            <w:tcW w:w="918" w:type="dxa"/>
          </w:tcPr>
          <w:p w14:paraId="751B2138" w14:textId="77777777" w:rsidR="009E52F4" w:rsidRPr="00625335" w:rsidRDefault="009E52F4" w:rsidP="00625335">
            <w:pPr>
              <w:pStyle w:val="NoSpacing"/>
              <w:jc w:val="both"/>
              <w:rPr>
                <w:rFonts w:ascii="Bookman Old Style" w:hAnsi="Bookman Old Style"/>
                <w:sz w:val="20"/>
                <w:szCs w:val="20"/>
              </w:rPr>
            </w:pPr>
            <w:r w:rsidRPr="00625335">
              <w:rPr>
                <w:rFonts w:ascii="Bookman Old Style" w:hAnsi="Bookman Old Style"/>
                <w:sz w:val="20"/>
                <w:szCs w:val="20"/>
              </w:rPr>
              <w:t>13</w:t>
            </w:r>
          </w:p>
        </w:tc>
        <w:tc>
          <w:tcPr>
            <w:tcW w:w="2970" w:type="dxa"/>
          </w:tcPr>
          <w:p w14:paraId="2CD658EE" w14:textId="77777777" w:rsidR="009E52F4" w:rsidRPr="00625335" w:rsidRDefault="00CE3273" w:rsidP="00625335">
            <w:pPr>
              <w:pStyle w:val="NoSpacing"/>
              <w:jc w:val="both"/>
              <w:rPr>
                <w:rFonts w:ascii="Bookman Old Style" w:hAnsi="Bookman Old Style"/>
                <w:sz w:val="20"/>
                <w:szCs w:val="20"/>
              </w:rPr>
            </w:pPr>
            <w:r w:rsidRPr="00625335">
              <w:rPr>
                <w:rFonts w:ascii="Bookman Old Style" w:hAnsi="Bookman Old Style"/>
                <w:sz w:val="20"/>
                <w:szCs w:val="20"/>
              </w:rPr>
              <w:t xml:space="preserve">Course Review; Clarification of Issues etc. </w:t>
            </w:r>
          </w:p>
        </w:tc>
        <w:tc>
          <w:tcPr>
            <w:tcW w:w="5688" w:type="dxa"/>
          </w:tcPr>
          <w:p w14:paraId="361E7868" w14:textId="77777777" w:rsidR="009E52F4" w:rsidRPr="00625335" w:rsidRDefault="009E52F4" w:rsidP="00625335">
            <w:pPr>
              <w:pStyle w:val="NoSpacing"/>
              <w:jc w:val="both"/>
              <w:rPr>
                <w:rFonts w:ascii="Bookman Old Style" w:hAnsi="Bookman Old Style"/>
                <w:sz w:val="20"/>
                <w:szCs w:val="20"/>
              </w:rPr>
            </w:pPr>
          </w:p>
        </w:tc>
      </w:tr>
    </w:tbl>
    <w:p w14:paraId="2DAE7C05" w14:textId="77777777" w:rsidR="009E52F4" w:rsidRDefault="009E52F4" w:rsidP="009E52F4">
      <w:pPr>
        <w:rPr>
          <w:sz w:val="23"/>
          <w:szCs w:val="23"/>
        </w:rPr>
      </w:pPr>
    </w:p>
    <w:p w14:paraId="19D88690" w14:textId="77777777" w:rsidR="00625335" w:rsidRPr="007A0D76" w:rsidRDefault="00625335" w:rsidP="009E52F4">
      <w:pPr>
        <w:rPr>
          <w:sz w:val="22"/>
          <w:szCs w:val="22"/>
        </w:rPr>
      </w:pPr>
    </w:p>
    <w:p w14:paraId="22AF0560" w14:textId="77777777" w:rsidR="00625335" w:rsidRPr="007A0D76" w:rsidRDefault="00625335" w:rsidP="00625335">
      <w:pPr>
        <w:pBdr>
          <w:top w:val="single" w:sz="12" w:space="1" w:color="auto"/>
          <w:left w:val="single" w:sz="12" w:space="4" w:color="auto"/>
          <w:bottom w:val="single" w:sz="12" w:space="1" w:color="auto"/>
          <w:right w:val="single" w:sz="12" w:space="4" w:color="auto"/>
        </w:pBdr>
        <w:rPr>
          <w:sz w:val="22"/>
          <w:szCs w:val="22"/>
        </w:rPr>
      </w:pPr>
      <w:r w:rsidRPr="007A0D76">
        <w:rPr>
          <w:b/>
          <w:bCs/>
          <w:sz w:val="22"/>
          <w:szCs w:val="22"/>
        </w:rPr>
        <w:t>6 READINGS/RESOURCES - ONLINE AND PRINT</w:t>
      </w:r>
    </w:p>
    <w:p w14:paraId="2F6DFD28" w14:textId="77777777" w:rsidR="00625335" w:rsidRDefault="00625335" w:rsidP="00625335">
      <w:pPr>
        <w:rPr>
          <w:sz w:val="23"/>
          <w:szCs w:val="23"/>
        </w:rPr>
      </w:pPr>
    </w:p>
    <w:p w14:paraId="2995B3BC" w14:textId="77777777" w:rsidR="00625335" w:rsidRDefault="00625335" w:rsidP="004143A3">
      <w:pPr>
        <w:jc w:val="both"/>
        <w:rPr>
          <w:b/>
          <w:bCs/>
          <w:sz w:val="23"/>
          <w:szCs w:val="23"/>
        </w:rPr>
      </w:pPr>
      <w:r>
        <w:rPr>
          <w:b/>
          <w:bCs/>
          <w:sz w:val="23"/>
          <w:szCs w:val="23"/>
        </w:rPr>
        <w:t>6.1 Required/Essential</w:t>
      </w:r>
    </w:p>
    <w:p w14:paraId="6F1D02B8" w14:textId="77777777" w:rsidR="00625335" w:rsidRPr="0073089D" w:rsidRDefault="00625335" w:rsidP="004143A3">
      <w:pPr>
        <w:pStyle w:val="NoSpacing"/>
        <w:numPr>
          <w:ilvl w:val="0"/>
          <w:numId w:val="13"/>
        </w:numPr>
        <w:jc w:val="both"/>
      </w:pPr>
      <w:r>
        <w:t xml:space="preserve">Hosein, R. and M. Franklin. 2014. </w:t>
      </w:r>
      <w:r w:rsidRPr="00631BE5">
        <w:rPr>
          <w:i/>
          <w:color w:val="222222"/>
          <w:shd w:val="clear" w:color="auto" w:fill="FFFFFF"/>
        </w:rPr>
        <w:t>Informal Commercial Importers in the CARICOM</w:t>
      </w:r>
      <w:r>
        <w:rPr>
          <w:i/>
          <w:color w:val="222222"/>
          <w:shd w:val="clear" w:color="auto" w:fill="FFFFFF"/>
        </w:rPr>
        <w:t xml:space="preserve">, </w:t>
      </w:r>
      <w:r w:rsidRPr="002179B4">
        <w:rPr>
          <w:color w:val="222222"/>
          <w:shd w:val="clear" w:color="auto" w:fill="FFFFFF"/>
        </w:rPr>
        <w:t>UWIPRESS.</w:t>
      </w:r>
    </w:p>
    <w:p w14:paraId="46FE3B5D" w14:textId="77777777" w:rsidR="00625335" w:rsidRDefault="00625335" w:rsidP="004143A3">
      <w:pPr>
        <w:pStyle w:val="NoSpacing"/>
        <w:numPr>
          <w:ilvl w:val="0"/>
          <w:numId w:val="12"/>
        </w:numPr>
        <w:jc w:val="both"/>
      </w:pPr>
      <w:r w:rsidRPr="00E13A10">
        <w:t xml:space="preserve">Hosein, R. 2013. Applications </w:t>
      </w:r>
      <w:r w:rsidRPr="00E13A10">
        <w:rPr>
          <w:i/>
        </w:rPr>
        <w:t>of International Trade Theory: The Caribbean Perspective</w:t>
      </w:r>
      <w:r w:rsidRPr="00E13A10">
        <w:t>, UWIPRESS.</w:t>
      </w:r>
    </w:p>
    <w:p w14:paraId="223835A1" w14:textId="77777777" w:rsidR="00625335" w:rsidRDefault="00625335" w:rsidP="004143A3">
      <w:pPr>
        <w:pStyle w:val="NoSpacing"/>
        <w:numPr>
          <w:ilvl w:val="0"/>
          <w:numId w:val="12"/>
        </w:numPr>
        <w:jc w:val="both"/>
      </w:pPr>
      <w:r w:rsidRPr="00E13A10">
        <w:t>Tewarie, B. and R. Hosein. 2007.</w:t>
      </w:r>
      <w:r>
        <w:t xml:space="preserve"> </w:t>
      </w:r>
      <w:r w:rsidRPr="00E13A10">
        <w:rPr>
          <w:rStyle w:val="Strong"/>
          <w:rFonts w:eastAsiaTheme="majorEastAsia"/>
          <w:b w:val="0"/>
          <w:i/>
        </w:rPr>
        <w:t>Trade</w:t>
      </w:r>
      <w:r w:rsidR="004143A3">
        <w:rPr>
          <w:rStyle w:val="Strong"/>
          <w:rFonts w:eastAsiaTheme="majorEastAsia"/>
          <w:b w:val="0"/>
          <w:i/>
        </w:rPr>
        <w:t>,</w:t>
      </w:r>
      <w:r w:rsidRPr="00E13A10">
        <w:rPr>
          <w:rStyle w:val="Strong"/>
          <w:rFonts w:eastAsiaTheme="majorEastAsia"/>
          <w:b w:val="0"/>
          <w:i/>
        </w:rPr>
        <w:t xml:space="preserve"> Investment and Development in the Contemporary Caribbean</w:t>
      </w:r>
      <w:r w:rsidRPr="00E13A10">
        <w:rPr>
          <w:rStyle w:val="Strong"/>
          <w:rFonts w:eastAsiaTheme="majorEastAsia"/>
          <w:b w:val="0"/>
        </w:rPr>
        <w:t>, Ian Randle.</w:t>
      </w:r>
    </w:p>
    <w:p w14:paraId="616E28F8" w14:textId="77777777" w:rsidR="00625335" w:rsidRDefault="00625335" w:rsidP="004143A3">
      <w:pPr>
        <w:jc w:val="both"/>
        <w:rPr>
          <w:b/>
          <w:bCs/>
          <w:sz w:val="23"/>
          <w:szCs w:val="23"/>
        </w:rPr>
      </w:pPr>
    </w:p>
    <w:p w14:paraId="5A2696DF" w14:textId="77777777" w:rsidR="00625335" w:rsidRDefault="00625335" w:rsidP="004143A3">
      <w:pPr>
        <w:jc w:val="both"/>
        <w:rPr>
          <w:b/>
          <w:bCs/>
          <w:sz w:val="23"/>
          <w:szCs w:val="23"/>
        </w:rPr>
      </w:pPr>
      <w:r>
        <w:rPr>
          <w:b/>
          <w:bCs/>
          <w:sz w:val="23"/>
          <w:szCs w:val="23"/>
        </w:rPr>
        <w:t>6.3 Other</w:t>
      </w:r>
    </w:p>
    <w:p w14:paraId="1576CE9E" w14:textId="77777777" w:rsidR="001732D6" w:rsidRPr="001732D6" w:rsidRDefault="00917FB2" w:rsidP="00625335">
      <w:pPr>
        <w:pStyle w:val="NoSpacing"/>
        <w:numPr>
          <w:ilvl w:val="0"/>
          <w:numId w:val="14"/>
        </w:numPr>
        <w:jc w:val="both"/>
        <w:rPr>
          <w:szCs w:val="20"/>
        </w:rPr>
      </w:pPr>
      <w:r>
        <w:rPr>
          <w:szCs w:val="20"/>
        </w:rPr>
        <w:t>Supporting readings/l</w:t>
      </w:r>
      <w:r w:rsidR="00625335" w:rsidRPr="00625335">
        <w:rPr>
          <w:szCs w:val="20"/>
        </w:rPr>
        <w:t>ecture not</w:t>
      </w:r>
      <w:r w:rsidR="001732D6">
        <w:rPr>
          <w:szCs w:val="20"/>
        </w:rPr>
        <w:t>es will be provided to the class</w:t>
      </w:r>
    </w:p>
    <w:p w14:paraId="09E14291" w14:textId="77777777" w:rsidR="001732D6" w:rsidRDefault="001732D6" w:rsidP="00625335">
      <w:pPr>
        <w:rPr>
          <w:sz w:val="23"/>
          <w:szCs w:val="23"/>
        </w:rPr>
      </w:pPr>
    </w:p>
    <w:p w14:paraId="21C36CE0" w14:textId="77777777" w:rsidR="001732D6" w:rsidRDefault="001732D6" w:rsidP="00625335">
      <w:pPr>
        <w:rPr>
          <w:sz w:val="23"/>
          <w:szCs w:val="23"/>
        </w:rPr>
      </w:pPr>
    </w:p>
    <w:p w14:paraId="613489B1" w14:textId="77777777" w:rsidR="00324C25" w:rsidRDefault="00324C25" w:rsidP="00625335">
      <w:pPr>
        <w:rPr>
          <w:sz w:val="23"/>
          <w:szCs w:val="23"/>
        </w:rPr>
      </w:pPr>
    </w:p>
    <w:p w14:paraId="37932D9C" w14:textId="77777777" w:rsidR="00324C25" w:rsidRDefault="00324C25" w:rsidP="00625335">
      <w:pPr>
        <w:rPr>
          <w:sz w:val="23"/>
          <w:szCs w:val="23"/>
        </w:rPr>
      </w:pPr>
    </w:p>
    <w:p w14:paraId="24497923" w14:textId="77777777" w:rsidR="001847C9" w:rsidRDefault="001847C9" w:rsidP="00625335">
      <w:pPr>
        <w:rPr>
          <w:sz w:val="23"/>
          <w:szCs w:val="23"/>
        </w:rPr>
      </w:pPr>
    </w:p>
    <w:p w14:paraId="31B907C9" w14:textId="77777777" w:rsidR="001847C9" w:rsidRDefault="001847C9" w:rsidP="00625335">
      <w:pPr>
        <w:rPr>
          <w:sz w:val="23"/>
          <w:szCs w:val="23"/>
        </w:rPr>
      </w:pPr>
    </w:p>
    <w:p w14:paraId="226C7C38" w14:textId="77777777" w:rsidR="001847C9" w:rsidRDefault="001847C9" w:rsidP="00625335">
      <w:pPr>
        <w:rPr>
          <w:sz w:val="23"/>
          <w:szCs w:val="23"/>
        </w:rPr>
      </w:pPr>
    </w:p>
    <w:p w14:paraId="36E62DC9" w14:textId="77777777" w:rsidR="001847C9" w:rsidRDefault="001847C9" w:rsidP="00625335">
      <w:pPr>
        <w:rPr>
          <w:sz w:val="23"/>
          <w:szCs w:val="23"/>
        </w:rPr>
      </w:pPr>
    </w:p>
    <w:p w14:paraId="37774FC3" w14:textId="77777777" w:rsidR="001847C9" w:rsidRDefault="001847C9" w:rsidP="00625335">
      <w:pPr>
        <w:rPr>
          <w:sz w:val="23"/>
          <w:szCs w:val="23"/>
        </w:rPr>
      </w:pPr>
    </w:p>
    <w:p w14:paraId="773BBA36" w14:textId="77777777" w:rsidR="00324C25" w:rsidRDefault="00324C25" w:rsidP="00625335">
      <w:pPr>
        <w:rPr>
          <w:sz w:val="23"/>
          <w:szCs w:val="23"/>
        </w:rPr>
      </w:pPr>
    </w:p>
    <w:p w14:paraId="13CC5FE3" w14:textId="77777777" w:rsidR="00324C25" w:rsidRPr="00625335" w:rsidRDefault="00324C25" w:rsidP="00625335">
      <w:pPr>
        <w:rPr>
          <w:sz w:val="23"/>
          <w:szCs w:val="23"/>
        </w:rPr>
      </w:pPr>
    </w:p>
    <w:p w14:paraId="22874DF9" w14:textId="77777777" w:rsidR="00625335" w:rsidRPr="007A0D76" w:rsidRDefault="00625335" w:rsidP="00625335">
      <w:pPr>
        <w:rPr>
          <w:sz w:val="22"/>
          <w:szCs w:val="22"/>
        </w:rPr>
      </w:pPr>
    </w:p>
    <w:p w14:paraId="3BC72060" w14:textId="77777777" w:rsidR="00625335" w:rsidRPr="001732D6" w:rsidRDefault="001732D6" w:rsidP="001732D6">
      <w:pPr>
        <w:pBdr>
          <w:top w:val="single" w:sz="12" w:space="1" w:color="auto"/>
          <w:left w:val="single" w:sz="12" w:space="4" w:color="auto"/>
          <w:bottom w:val="single" w:sz="12" w:space="1" w:color="auto"/>
          <w:right w:val="single" w:sz="12" w:space="4" w:color="auto"/>
        </w:pBdr>
        <w:rPr>
          <w:sz w:val="22"/>
          <w:szCs w:val="22"/>
        </w:rPr>
      </w:pPr>
      <w:r>
        <w:rPr>
          <w:b/>
          <w:bCs/>
          <w:sz w:val="22"/>
          <w:szCs w:val="22"/>
        </w:rPr>
        <w:t>7 POLICIES AND ADDITIONAL INFORMATION</w:t>
      </w:r>
    </w:p>
    <w:tbl>
      <w:tblPr>
        <w:tblW w:w="9610" w:type="dxa"/>
        <w:tblInd w:w="-142" w:type="dxa"/>
        <w:tblLayout w:type="fixed"/>
        <w:tblLook w:val="0000" w:firstRow="0" w:lastRow="0" w:firstColumn="0" w:lastColumn="0" w:noHBand="0" w:noVBand="0"/>
      </w:tblPr>
      <w:tblGrid>
        <w:gridCol w:w="9610"/>
      </w:tblGrid>
      <w:tr w:rsidR="00625335" w:rsidRPr="00FC6B72" w14:paraId="4F383DCF" w14:textId="77777777" w:rsidTr="001732D6">
        <w:trPr>
          <w:cantSplit/>
          <w:trHeight w:val="260"/>
        </w:trPr>
        <w:tc>
          <w:tcPr>
            <w:tcW w:w="9610" w:type="dxa"/>
          </w:tcPr>
          <w:p w14:paraId="6131D153" w14:textId="77777777" w:rsidR="0005750C" w:rsidRPr="001732D6" w:rsidRDefault="0005750C" w:rsidP="001732D6">
            <w:pPr>
              <w:rPr>
                <w:b/>
              </w:rPr>
            </w:pPr>
          </w:p>
        </w:tc>
      </w:tr>
      <w:tr w:rsidR="00625335" w:rsidRPr="00FC6B72" w14:paraId="691AD059" w14:textId="77777777" w:rsidTr="00173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9610" w:type="dxa"/>
          </w:tcPr>
          <w:p w14:paraId="3BA8142D" w14:textId="77777777" w:rsidR="00625335" w:rsidRPr="00FC6B72" w:rsidRDefault="00625335" w:rsidP="003C5852">
            <w:pPr>
              <w:spacing w:before="120" w:after="120"/>
              <w:ind w:left="720" w:hanging="720"/>
              <w:jc w:val="both"/>
            </w:pPr>
            <w:r w:rsidRPr="00FC6B72">
              <w:rPr>
                <w:lang w:val="en-GB"/>
              </w:rPr>
              <w:t xml:space="preserve">19 </w:t>
            </w:r>
            <w:r w:rsidRPr="00FC6B72">
              <w:rPr>
                <w:lang w:val="en-GB"/>
              </w:rPr>
              <w:tab/>
              <w:t xml:space="preserve">“Any candidate who has been absent from the University for a prolonged period during the teaching of a particular course for any reason other than illness or whose attendance at prescribed lectures, classes, ... </w:t>
            </w:r>
            <w:r w:rsidRPr="00FC6B72">
              <w:rPr>
                <w:u w:val="single"/>
                <w:lang w:val="en-GB"/>
              </w:rPr>
              <w:t>tutorials</w:t>
            </w:r>
            <w:r w:rsidRPr="00FC6B72">
              <w:rPr>
                <w:lang w:val="en-GB"/>
              </w:rPr>
              <w:t>, ... has been unsatisfactory or who has failed to submit essays or other exercises set by his/her teachers, may be debarred by the relevant Academic Board, on the recommendation of the relevant Faculty Board, from taking any University examinations. The procedures to be used shall be prescribed in Faculty Regulations.”</w:t>
            </w:r>
          </w:p>
          <w:p w14:paraId="3A1AE45B" w14:textId="77777777" w:rsidR="00625335" w:rsidRPr="00FC6B72" w:rsidRDefault="00625335" w:rsidP="003C5852">
            <w:pPr>
              <w:jc w:val="both"/>
            </w:pPr>
          </w:p>
          <w:p w14:paraId="34B74104" w14:textId="77777777" w:rsidR="00625335" w:rsidRPr="00FC6B72" w:rsidRDefault="00625335" w:rsidP="003C5852">
            <w:pPr>
              <w:jc w:val="both"/>
            </w:pPr>
            <w:r w:rsidRPr="00FC6B72">
              <w:t>“97.      (</w:t>
            </w:r>
            <w:proofErr w:type="spellStart"/>
            <w:r w:rsidRPr="00FC6B72">
              <w:t>i</w:t>
            </w:r>
            <w:proofErr w:type="spellEnd"/>
            <w:r w:rsidRPr="00FC6B72">
              <w:t>)      </w:t>
            </w:r>
            <w:r w:rsidRPr="00FC6B72">
              <w:tab/>
              <w:t>Cheating shall constitute a major offence under these regulations.</w:t>
            </w:r>
          </w:p>
          <w:p w14:paraId="7545F4A4" w14:textId="77777777" w:rsidR="00625335" w:rsidRPr="00FC6B72" w:rsidRDefault="00625335" w:rsidP="003C5852">
            <w:pPr>
              <w:ind w:firstLine="720"/>
              <w:jc w:val="both"/>
            </w:pPr>
            <w:r w:rsidRPr="00FC6B72">
              <w:t>(ii)     </w:t>
            </w:r>
            <w:r w:rsidRPr="00FC6B72">
              <w:tab/>
              <w:t>Cheating is any attempt to benefit one’s self or another by deceit or fraud.</w:t>
            </w:r>
          </w:p>
          <w:p w14:paraId="17C72EA4" w14:textId="77777777" w:rsidR="00625335" w:rsidRPr="00FC6B72" w:rsidRDefault="00625335" w:rsidP="003C5852">
            <w:pPr>
              <w:ind w:firstLine="720"/>
              <w:jc w:val="both"/>
            </w:pPr>
            <w:r w:rsidRPr="00FC6B72">
              <w:t>(iii)    </w:t>
            </w:r>
            <w:r w:rsidRPr="00FC6B72">
              <w:tab/>
              <w:t>Plagiarism is a form of cheating.</w:t>
            </w:r>
          </w:p>
          <w:p w14:paraId="4F55152E" w14:textId="77777777" w:rsidR="00625335" w:rsidRPr="00FC6B72" w:rsidRDefault="00625335" w:rsidP="003C5852">
            <w:pPr>
              <w:ind w:firstLine="720"/>
              <w:jc w:val="both"/>
            </w:pPr>
            <w:r w:rsidRPr="00FC6B72">
              <w:t xml:space="preserve">(iv)       Plagiarism is the unauthorized and/ or unacknowledged use of another person’s </w:t>
            </w:r>
          </w:p>
          <w:p w14:paraId="0E1A6A1E" w14:textId="77777777" w:rsidR="00625335" w:rsidRPr="00FC6B72" w:rsidRDefault="00625335" w:rsidP="003C5852">
            <w:pPr>
              <w:ind w:left="1440"/>
              <w:jc w:val="both"/>
            </w:pPr>
            <w:r w:rsidRPr="00FC6B72">
              <w:t>intellectual effort and creations howsoever recorded, including whether formally published or in manuscript or in typescript or other printed or electronically presented form and includes taking passages, ideas or structures from another work or author without proper and unequivocal attribution of such source(s), using the conventions for attributions or citing used in this University.</w:t>
            </w:r>
          </w:p>
          <w:p w14:paraId="2665C3A9" w14:textId="77777777" w:rsidR="00625335" w:rsidRPr="00FC6B72" w:rsidRDefault="00625335" w:rsidP="003C5852">
            <w:pPr>
              <w:ind w:left="1440"/>
              <w:jc w:val="both"/>
            </w:pPr>
          </w:p>
          <w:p w14:paraId="290FFE2B" w14:textId="77777777" w:rsidR="00625335" w:rsidRPr="00FC6B72" w:rsidRDefault="00625335" w:rsidP="003C5852">
            <w:pPr>
              <w:autoSpaceDE w:val="0"/>
              <w:autoSpaceDN w:val="0"/>
              <w:jc w:val="both"/>
            </w:pPr>
            <w:r w:rsidRPr="00FC6B72">
              <w:t>103.     (</w:t>
            </w:r>
            <w:proofErr w:type="spellStart"/>
            <w:r w:rsidRPr="00FC6B72">
              <w:t>i</w:t>
            </w:r>
            <w:proofErr w:type="spellEnd"/>
            <w:r w:rsidRPr="00FC6B72">
              <w:t>)      </w:t>
            </w:r>
            <w:r w:rsidRPr="00FC6B72">
              <w:tab/>
              <w:t xml:space="preserve">If any candidate is suspected of cheating, or attempting to cheat, the </w:t>
            </w:r>
          </w:p>
          <w:p w14:paraId="65966DF1" w14:textId="77777777" w:rsidR="00625335" w:rsidRPr="00FC6B72" w:rsidRDefault="00625335" w:rsidP="003C5852">
            <w:pPr>
              <w:autoSpaceDE w:val="0"/>
              <w:autoSpaceDN w:val="0"/>
              <w:ind w:left="1440"/>
              <w:jc w:val="both"/>
            </w:pPr>
            <w:r w:rsidRPr="00FC6B72">
              <w:t>circumstances shall be reported in writing to the Campus Registrar. The Campus Registrar shall refer the matter to the Chairman of the Campus Committee on Examinations. If the Chairman so decides, the Committee shall invite the candidate for an interview and shall conduct an investigation. If the candidate is found guilty of cheating or attempting to cheat, the Committee shall disqualify the candidate from the examination in the course concerned, and may also disqualify him/her from all examinations taken in that examination session; and may also disqualify him/her from all further examinations of the University, for any period of time, and may impose a fine not exceeding Bds$300.00 or J$5000.00 or TT$900.00 or US$150.00 (according to campus). If the candidate fails to attend and does not offer a satisfactory excuse prior to the hearing, the Committee may hear the case in the candidate’s absence.”</w:t>
            </w:r>
          </w:p>
          <w:p w14:paraId="5704AAD7" w14:textId="77777777" w:rsidR="00625335" w:rsidRPr="00FC6B72" w:rsidRDefault="00625335" w:rsidP="003C5852"/>
        </w:tc>
      </w:tr>
    </w:tbl>
    <w:p w14:paraId="44B7C2CB" w14:textId="77777777" w:rsidR="0005750C" w:rsidRDefault="0005750C" w:rsidP="00625335">
      <w:pPr>
        <w:rPr>
          <w:sz w:val="23"/>
          <w:szCs w:val="23"/>
        </w:rPr>
      </w:pPr>
    </w:p>
    <w:p w14:paraId="58B8C521" w14:textId="77777777" w:rsidR="004C1C34" w:rsidRDefault="004C1C34" w:rsidP="00625335">
      <w:pPr>
        <w:rPr>
          <w:sz w:val="23"/>
          <w:szCs w:val="23"/>
        </w:rPr>
      </w:pPr>
    </w:p>
    <w:p w14:paraId="436F6598" w14:textId="77777777" w:rsidR="004C1C34" w:rsidRDefault="004C1C34" w:rsidP="00625335">
      <w:pPr>
        <w:rPr>
          <w:sz w:val="23"/>
          <w:szCs w:val="23"/>
        </w:rPr>
      </w:pPr>
    </w:p>
    <w:p w14:paraId="2399538F" w14:textId="77777777" w:rsidR="004C1C34" w:rsidRDefault="004C1C34" w:rsidP="00625335">
      <w:pPr>
        <w:rPr>
          <w:sz w:val="23"/>
          <w:szCs w:val="23"/>
        </w:rPr>
      </w:pPr>
    </w:p>
    <w:p w14:paraId="4C275889" w14:textId="77777777" w:rsidR="004C1C34" w:rsidRDefault="004C1C34" w:rsidP="00625335">
      <w:pPr>
        <w:rPr>
          <w:sz w:val="23"/>
          <w:szCs w:val="23"/>
        </w:rPr>
      </w:pPr>
    </w:p>
    <w:p w14:paraId="1C7C5378" w14:textId="77777777" w:rsidR="004C1C34" w:rsidRDefault="004C1C34" w:rsidP="00625335">
      <w:pPr>
        <w:rPr>
          <w:sz w:val="23"/>
          <w:szCs w:val="23"/>
        </w:rPr>
      </w:pPr>
    </w:p>
    <w:p w14:paraId="689AD1F2" w14:textId="77777777" w:rsidR="004C1C34" w:rsidRDefault="004C1C34" w:rsidP="00625335">
      <w:pPr>
        <w:rPr>
          <w:sz w:val="23"/>
          <w:szCs w:val="23"/>
        </w:rPr>
      </w:pPr>
    </w:p>
    <w:p w14:paraId="16752954" w14:textId="77777777" w:rsidR="004C1C34" w:rsidRDefault="004C1C34" w:rsidP="00625335">
      <w:pPr>
        <w:rPr>
          <w:sz w:val="23"/>
          <w:szCs w:val="23"/>
        </w:rPr>
      </w:pPr>
    </w:p>
    <w:p w14:paraId="27BF2B06" w14:textId="77777777" w:rsidR="004C1C34" w:rsidRDefault="004C1C34" w:rsidP="00625335">
      <w:pPr>
        <w:rPr>
          <w:sz w:val="23"/>
          <w:szCs w:val="23"/>
        </w:rPr>
      </w:pPr>
    </w:p>
    <w:p w14:paraId="6BE23ECC" w14:textId="77777777" w:rsidR="004C1C34" w:rsidRDefault="004C1C34" w:rsidP="00625335">
      <w:pPr>
        <w:rPr>
          <w:sz w:val="23"/>
          <w:szCs w:val="23"/>
        </w:rPr>
      </w:pPr>
    </w:p>
    <w:p w14:paraId="61900C19" w14:textId="77777777" w:rsidR="004C1C34" w:rsidRDefault="004C1C34" w:rsidP="00625335">
      <w:pPr>
        <w:rPr>
          <w:sz w:val="23"/>
          <w:szCs w:val="23"/>
        </w:rPr>
      </w:pPr>
    </w:p>
    <w:p w14:paraId="6E2CFBD0" w14:textId="77777777" w:rsidR="004C1C34" w:rsidRDefault="004C1C34" w:rsidP="00625335">
      <w:pPr>
        <w:rPr>
          <w:sz w:val="23"/>
          <w:szCs w:val="23"/>
        </w:rPr>
      </w:pPr>
    </w:p>
    <w:p w14:paraId="4EC54782" w14:textId="77777777" w:rsidR="0005750C" w:rsidRPr="0005750C" w:rsidRDefault="0005750C" w:rsidP="0005750C">
      <w:pPr>
        <w:pStyle w:val="ListParagraph"/>
        <w:numPr>
          <w:ilvl w:val="0"/>
          <w:numId w:val="14"/>
        </w:numPr>
        <w:rPr>
          <w:b/>
          <w:szCs w:val="23"/>
        </w:rPr>
      </w:pPr>
      <w:r w:rsidRPr="0005750C">
        <w:rPr>
          <w:b/>
          <w:szCs w:val="23"/>
        </w:rPr>
        <w:t>Attendance policy</w:t>
      </w:r>
    </w:p>
    <w:p w14:paraId="01552444" w14:textId="77777777" w:rsidR="0005750C" w:rsidRDefault="0005750C" w:rsidP="0005750C">
      <w:pPr>
        <w:rPr>
          <w:szCs w:val="23"/>
        </w:rPr>
      </w:pPr>
    </w:p>
    <w:p w14:paraId="3A5CF69B" w14:textId="77777777" w:rsidR="001732D6" w:rsidRDefault="001732D6" w:rsidP="001732D6">
      <w:pPr>
        <w:rPr>
          <w:szCs w:val="23"/>
        </w:rPr>
      </w:pPr>
      <w:r>
        <w:t>In accordance with University of the West Indies General Examination Regulations and Faculty of Social Sciences Regulations, students who attain less than 75% of lecture or tutorial attendance may be debarred from writing the final examination.</w:t>
      </w:r>
    </w:p>
    <w:p w14:paraId="1B6D711A" w14:textId="77777777" w:rsidR="001732D6" w:rsidRDefault="001732D6" w:rsidP="0005750C">
      <w:pPr>
        <w:rPr>
          <w:szCs w:val="23"/>
        </w:rPr>
      </w:pPr>
    </w:p>
    <w:tbl>
      <w:tblPr>
        <w:tblW w:w="0" w:type="auto"/>
        <w:tblLayout w:type="fixed"/>
        <w:tblLook w:val="0000" w:firstRow="0" w:lastRow="0" w:firstColumn="0" w:lastColumn="0" w:noHBand="0" w:noVBand="0"/>
      </w:tblPr>
      <w:tblGrid>
        <w:gridCol w:w="9468"/>
      </w:tblGrid>
      <w:tr w:rsidR="0005750C" w:rsidRPr="00FC6B72" w14:paraId="0E413C75" w14:textId="77777777" w:rsidTr="003C5852">
        <w:trPr>
          <w:trHeight w:val="305"/>
        </w:trPr>
        <w:tc>
          <w:tcPr>
            <w:tcW w:w="9468" w:type="dxa"/>
          </w:tcPr>
          <w:p w14:paraId="5098BAC0" w14:textId="77777777" w:rsidR="0005750C" w:rsidRPr="0005750C" w:rsidRDefault="0005750C" w:rsidP="0005750C">
            <w:pPr>
              <w:pStyle w:val="ListParagraph"/>
              <w:numPr>
                <w:ilvl w:val="0"/>
                <w:numId w:val="14"/>
              </w:numPr>
              <w:rPr>
                <w:b/>
              </w:rPr>
            </w:pPr>
            <w:r w:rsidRPr="0005750C">
              <w:rPr>
                <w:b/>
              </w:rPr>
              <w:t>Grading System</w:t>
            </w:r>
          </w:p>
        </w:tc>
      </w:tr>
      <w:tr w:rsidR="0005750C" w:rsidRPr="00FC6B72" w14:paraId="715341E6" w14:textId="77777777" w:rsidTr="003C5852">
        <w:trPr>
          <w:trHeight w:val="233"/>
        </w:trPr>
        <w:tc>
          <w:tcPr>
            <w:tcW w:w="9468" w:type="dxa"/>
          </w:tcPr>
          <w:tbl>
            <w:tblPr>
              <w:tblpPr w:leftFromText="180" w:rightFromText="180" w:horzAnchor="page" w:tblpXSpec="center" w:tblpY="39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555"/>
              <w:gridCol w:w="1595"/>
            </w:tblGrid>
            <w:tr w:rsidR="00013C43" w:rsidRPr="00E13A10" w14:paraId="66014838" w14:textId="77777777" w:rsidTr="00013C43">
              <w:tc>
                <w:tcPr>
                  <w:tcW w:w="1165" w:type="dxa"/>
                </w:tcPr>
                <w:p w14:paraId="77B90CC6" w14:textId="77777777" w:rsidR="00013C43" w:rsidRPr="00E13A10" w:rsidRDefault="00013C43" w:rsidP="00013C43">
                  <w:pPr>
                    <w:autoSpaceDE w:val="0"/>
                    <w:autoSpaceDN w:val="0"/>
                    <w:adjustRightInd w:val="0"/>
                    <w:rPr>
                      <w:bCs/>
                      <w:sz w:val="20"/>
                      <w:szCs w:val="20"/>
                    </w:rPr>
                  </w:pPr>
                  <w:r w:rsidRPr="00E13A10">
                    <w:rPr>
                      <w:bCs/>
                      <w:sz w:val="20"/>
                      <w:szCs w:val="20"/>
                    </w:rPr>
                    <w:t>GRADE</w:t>
                  </w:r>
                </w:p>
              </w:tc>
              <w:tc>
                <w:tcPr>
                  <w:tcW w:w="1555" w:type="dxa"/>
                </w:tcPr>
                <w:p w14:paraId="112BF195" w14:textId="77777777" w:rsidR="00013C43" w:rsidRPr="00E13A10" w:rsidRDefault="00013C43" w:rsidP="00013C43">
                  <w:pPr>
                    <w:autoSpaceDE w:val="0"/>
                    <w:autoSpaceDN w:val="0"/>
                    <w:adjustRightInd w:val="0"/>
                    <w:jc w:val="center"/>
                    <w:rPr>
                      <w:bCs/>
                      <w:sz w:val="20"/>
                      <w:szCs w:val="20"/>
                    </w:rPr>
                  </w:pPr>
                  <w:r w:rsidRPr="00E13A10">
                    <w:rPr>
                      <w:bCs/>
                      <w:sz w:val="20"/>
                      <w:szCs w:val="20"/>
                    </w:rPr>
                    <w:t>GPA</w:t>
                  </w:r>
                </w:p>
              </w:tc>
              <w:tc>
                <w:tcPr>
                  <w:tcW w:w="1595" w:type="dxa"/>
                </w:tcPr>
                <w:p w14:paraId="5DDF9919" w14:textId="77777777" w:rsidR="00013C43" w:rsidRPr="00E13A10" w:rsidRDefault="00013C43" w:rsidP="00013C43">
                  <w:pPr>
                    <w:autoSpaceDE w:val="0"/>
                    <w:autoSpaceDN w:val="0"/>
                    <w:adjustRightInd w:val="0"/>
                    <w:jc w:val="center"/>
                    <w:rPr>
                      <w:bCs/>
                      <w:sz w:val="20"/>
                      <w:szCs w:val="20"/>
                    </w:rPr>
                  </w:pPr>
                  <w:r w:rsidRPr="00E13A10">
                    <w:rPr>
                      <w:bCs/>
                      <w:sz w:val="20"/>
                      <w:szCs w:val="20"/>
                    </w:rPr>
                    <w:t>MARKS</w:t>
                  </w:r>
                  <w:r>
                    <w:rPr>
                      <w:bCs/>
                      <w:sz w:val="20"/>
                      <w:szCs w:val="20"/>
                    </w:rPr>
                    <w:t xml:space="preserve"> </w:t>
                  </w:r>
                  <w:r w:rsidRPr="00E13A10">
                    <w:rPr>
                      <w:bCs/>
                      <w:sz w:val="20"/>
                      <w:szCs w:val="20"/>
                    </w:rPr>
                    <w:t>%</w:t>
                  </w:r>
                </w:p>
              </w:tc>
            </w:tr>
            <w:tr w:rsidR="00013C43" w:rsidRPr="00E13A10" w14:paraId="4ACC0AE3" w14:textId="77777777" w:rsidTr="00013C43">
              <w:tc>
                <w:tcPr>
                  <w:tcW w:w="1165" w:type="dxa"/>
                </w:tcPr>
                <w:p w14:paraId="5A3C7B03" w14:textId="77777777" w:rsidR="00013C43" w:rsidRPr="00E13A10" w:rsidRDefault="00013C43" w:rsidP="00013C43">
                  <w:pPr>
                    <w:autoSpaceDE w:val="0"/>
                    <w:autoSpaceDN w:val="0"/>
                    <w:adjustRightInd w:val="0"/>
                    <w:rPr>
                      <w:bCs/>
                      <w:sz w:val="20"/>
                      <w:szCs w:val="20"/>
                    </w:rPr>
                  </w:pPr>
                  <w:r w:rsidRPr="00E13A10">
                    <w:rPr>
                      <w:bCs/>
                      <w:sz w:val="20"/>
                      <w:szCs w:val="20"/>
                    </w:rPr>
                    <w:t>A+</w:t>
                  </w:r>
                </w:p>
              </w:tc>
              <w:tc>
                <w:tcPr>
                  <w:tcW w:w="1555" w:type="dxa"/>
                </w:tcPr>
                <w:p w14:paraId="5D4806CB" w14:textId="77777777" w:rsidR="00013C43" w:rsidRPr="00E13A10" w:rsidRDefault="00013C43" w:rsidP="00013C43">
                  <w:pPr>
                    <w:autoSpaceDE w:val="0"/>
                    <w:autoSpaceDN w:val="0"/>
                    <w:adjustRightInd w:val="0"/>
                    <w:jc w:val="center"/>
                    <w:rPr>
                      <w:bCs/>
                      <w:sz w:val="20"/>
                      <w:szCs w:val="20"/>
                    </w:rPr>
                  </w:pPr>
                  <w:r w:rsidRPr="00E13A10">
                    <w:rPr>
                      <w:bCs/>
                      <w:sz w:val="20"/>
                      <w:szCs w:val="20"/>
                    </w:rPr>
                    <w:t>4.3</w:t>
                  </w:r>
                </w:p>
              </w:tc>
              <w:tc>
                <w:tcPr>
                  <w:tcW w:w="1595" w:type="dxa"/>
                </w:tcPr>
                <w:p w14:paraId="2F397862" w14:textId="77777777" w:rsidR="00013C43" w:rsidRPr="00E13A10" w:rsidRDefault="00013C43" w:rsidP="00013C43">
                  <w:pPr>
                    <w:autoSpaceDE w:val="0"/>
                    <w:autoSpaceDN w:val="0"/>
                    <w:adjustRightInd w:val="0"/>
                    <w:jc w:val="center"/>
                    <w:rPr>
                      <w:bCs/>
                      <w:sz w:val="20"/>
                      <w:szCs w:val="20"/>
                    </w:rPr>
                  </w:pPr>
                  <w:r>
                    <w:rPr>
                      <w:bCs/>
                      <w:sz w:val="20"/>
                      <w:szCs w:val="20"/>
                    </w:rPr>
                    <w:t>90-100</w:t>
                  </w:r>
                </w:p>
              </w:tc>
            </w:tr>
            <w:tr w:rsidR="00013C43" w:rsidRPr="00E13A10" w14:paraId="05F2D8E3" w14:textId="77777777" w:rsidTr="00013C43">
              <w:tc>
                <w:tcPr>
                  <w:tcW w:w="1165" w:type="dxa"/>
                </w:tcPr>
                <w:p w14:paraId="10CA84A7" w14:textId="77777777" w:rsidR="00013C43" w:rsidRPr="00E13A10" w:rsidRDefault="00013C43" w:rsidP="00013C43">
                  <w:pPr>
                    <w:autoSpaceDE w:val="0"/>
                    <w:autoSpaceDN w:val="0"/>
                    <w:adjustRightInd w:val="0"/>
                    <w:rPr>
                      <w:bCs/>
                      <w:sz w:val="20"/>
                      <w:szCs w:val="20"/>
                    </w:rPr>
                  </w:pPr>
                  <w:r w:rsidRPr="00E13A10">
                    <w:rPr>
                      <w:bCs/>
                      <w:sz w:val="20"/>
                      <w:szCs w:val="20"/>
                    </w:rPr>
                    <w:t>A</w:t>
                  </w:r>
                </w:p>
              </w:tc>
              <w:tc>
                <w:tcPr>
                  <w:tcW w:w="1555" w:type="dxa"/>
                </w:tcPr>
                <w:p w14:paraId="444FBA82" w14:textId="77777777" w:rsidR="00013C43" w:rsidRPr="00E13A10" w:rsidRDefault="00013C43" w:rsidP="00013C43">
                  <w:pPr>
                    <w:autoSpaceDE w:val="0"/>
                    <w:autoSpaceDN w:val="0"/>
                    <w:adjustRightInd w:val="0"/>
                    <w:jc w:val="center"/>
                    <w:rPr>
                      <w:bCs/>
                      <w:sz w:val="20"/>
                      <w:szCs w:val="20"/>
                    </w:rPr>
                  </w:pPr>
                  <w:r w:rsidRPr="00E13A10">
                    <w:rPr>
                      <w:bCs/>
                      <w:sz w:val="20"/>
                      <w:szCs w:val="20"/>
                    </w:rPr>
                    <w:t>4.0</w:t>
                  </w:r>
                </w:p>
              </w:tc>
              <w:tc>
                <w:tcPr>
                  <w:tcW w:w="1595" w:type="dxa"/>
                </w:tcPr>
                <w:p w14:paraId="41B2DDC6" w14:textId="77777777" w:rsidR="00013C43" w:rsidRPr="00E13A10" w:rsidRDefault="00013C43" w:rsidP="00013C43">
                  <w:pPr>
                    <w:autoSpaceDE w:val="0"/>
                    <w:autoSpaceDN w:val="0"/>
                    <w:adjustRightInd w:val="0"/>
                    <w:jc w:val="center"/>
                    <w:rPr>
                      <w:bCs/>
                      <w:sz w:val="20"/>
                      <w:szCs w:val="20"/>
                    </w:rPr>
                  </w:pPr>
                  <w:r>
                    <w:rPr>
                      <w:bCs/>
                      <w:sz w:val="20"/>
                      <w:szCs w:val="20"/>
                    </w:rPr>
                    <w:t>80-89</w:t>
                  </w:r>
                </w:p>
              </w:tc>
            </w:tr>
            <w:tr w:rsidR="00013C43" w:rsidRPr="00E13A10" w14:paraId="5EB1F358" w14:textId="77777777" w:rsidTr="00013C43">
              <w:tc>
                <w:tcPr>
                  <w:tcW w:w="1165" w:type="dxa"/>
                </w:tcPr>
                <w:p w14:paraId="50773BC7" w14:textId="77777777" w:rsidR="00013C43" w:rsidRPr="00E13A10" w:rsidRDefault="00013C43" w:rsidP="00013C43">
                  <w:pPr>
                    <w:autoSpaceDE w:val="0"/>
                    <w:autoSpaceDN w:val="0"/>
                    <w:adjustRightInd w:val="0"/>
                    <w:rPr>
                      <w:bCs/>
                      <w:sz w:val="20"/>
                      <w:szCs w:val="20"/>
                    </w:rPr>
                  </w:pPr>
                  <w:r w:rsidRPr="00E13A10">
                    <w:rPr>
                      <w:bCs/>
                      <w:sz w:val="20"/>
                      <w:szCs w:val="20"/>
                    </w:rPr>
                    <w:t>A-</w:t>
                  </w:r>
                </w:p>
              </w:tc>
              <w:tc>
                <w:tcPr>
                  <w:tcW w:w="1555" w:type="dxa"/>
                </w:tcPr>
                <w:p w14:paraId="093D2DCB" w14:textId="77777777" w:rsidR="00013C43" w:rsidRPr="00E13A10" w:rsidRDefault="00013C43" w:rsidP="00013C43">
                  <w:pPr>
                    <w:autoSpaceDE w:val="0"/>
                    <w:autoSpaceDN w:val="0"/>
                    <w:adjustRightInd w:val="0"/>
                    <w:jc w:val="center"/>
                    <w:rPr>
                      <w:bCs/>
                      <w:sz w:val="20"/>
                      <w:szCs w:val="20"/>
                    </w:rPr>
                  </w:pPr>
                  <w:r w:rsidRPr="00E13A10">
                    <w:rPr>
                      <w:bCs/>
                      <w:sz w:val="20"/>
                      <w:szCs w:val="20"/>
                    </w:rPr>
                    <w:t>3.7</w:t>
                  </w:r>
                </w:p>
              </w:tc>
              <w:tc>
                <w:tcPr>
                  <w:tcW w:w="1595" w:type="dxa"/>
                </w:tcPr>
                <w:p w14:paraId="0B1278D3" w14:textId="77777777" w:rsidR="00013C43" w:rsidRPr="00E13A10" w:rsidRDefault="00013C43" w:rsidP="00013C43">
                  <w:pPr>
                    <w:autoSpaceDE w:val="0"/>
                    <w:autoSpaceDN w:val="0"/>
                    <w:adjustRightInd w:val="0"/>
                    <w:jc w:val="center"/>
                    <w:rPr>
                      <w:bCs/>
                      <w:sz w:val="20"/>
                      <w:szCs w:val="20"/>
                    </w:rPr>
                  </w:pPr>
                  <w:r>
                    <w:rPr>
                      <w:bCs/>
                      <w:sz w:val="20"/>
                      <w:szCs w:val="20"/>
                    </w:rPr>
                    <w:t>75-79</w:t>
                  </w:r>
                </w:p>
              </w:tc>
            </w:tr>
            <w:tr w:rsidR="00013C43" w:rsidRPr="00E13A10" w14:paraId="20AF3507" w14:textId="77777777" w:rsidTr="00013C43">
              <w:tc>
                <w:tcPr>
                  <w:tcW w:w="1165" w:type="dxa"/>
                </w:tcPr>
                <w:p w14:paraId="6BD155C0" w14:textId="77777777" w:rsidR="00013C43" w:rsidRPr="00E13A10" w:rsidRDefault="00013C43" w:rsidP="00013C43">
                  <w:pPr>
                    <w:autoSpaceDE w:val="0"/>
                    <w:autoSpaceDN w:val="0"/>
                    <w:adjustRightInd w:val="0"/>
                    <w:rPr>
                      <w:bCs/>
                      <w:sz w:val="20"/>
                      <w:szCs w:val="20"/>
                    </w:rPr>
                  </w:pPr>
                  <w:r>
                    <w:rPr>
                      <w:bCs/>
                      <w:sz w:val="20"/>
                      <w:szCs w:val="20"/>
                    </w:rPr>
                    <w:t>B+</w:t>
                  </w:r>
                </w:p>
              </w:tc>
              <w:tc>
                <w:tcPr>
                  <w:tcW w:w="1555" w:type="dxa"/>
                </w:tcPr>
                <w:p w14:paraId="58D39E56" w14:textId="77777777" w:rsidR="00013C43" w:rsidRPr="00E13A10" w:rsidRDefault="00013C43" w:rsidP="00013C43">
                  <w:pPr>
                    <w:autoSpaceDE w:val="0"/>
                    <w:autoSpaceDN w:val="0"/>
                    <w:adjustRightInd w:val="0"/>
                    <w:jc w:val="center"/>
                    <w:rPr>
                      <w:bCs/>
                      <w:sz w:val="20"/>
                      <w:szCs w:val="20"/>
                    </w:rPr>
                  </w:pPr>
                  <w:r>
                    <w:rPr>
                      <w:bCs/>
                      <w:sz w:val="20"/>
                      <w:szCs w:val="20"/>
                    </w:rPr>
                    <w:t>3.3</w:t>
                  </w:r>
                </w:p>
              </w:tc>
              <w:tc>
                <w:tcPr>
                  <w:tcW w:w="1595" w:type="dxa"/>
                </w:tcPr>
                <w:p w14:paraId="496E1F2F" w14:textId="77777777" w:rsidR="00013C43" w:rsidRPr="00E13A10" w:rsidRDefault="00013C43" w:rsidP="00013C43">
                  <w:pPr>
                    <w:autoSpaceDE w:val="0"/>
                    <w:autoSpaceDN w:val="0"/>
                    <w:adjustRightInd w:val="0"/>
                    <w:jc w:val="center"/>
                    <w:rPr>
                      <w:bCs/>
                      <w:sz w:val="20"/>
                      <w:szCs w:val="20"/>
                    </w:rPr>
                  </w:pPr>
                  <w:r>
                    <w:rPr>
                      <w:bCs/>
                      <w:sz w:val="20"/>
                      <w:szCs w:val="20"/>
                    </w:rPr>
                    <w:t>70-74</w:t>
                  </w:r>
                </w:p>
              </w:tc>
            </w:tr>
            <w:tr w:rsidR="00013C43" w:rsidRPr="00E13A10" w14:paraId="32964450" w14:textId="77777777" w:rsidTr="00013C43">
              <w:tc>
                <w:tcPr>
                  <w:tcW w:w="1165" w:type="dxa"/>
                </w:tcPr>
                <w:p w14:paraId="7C92170B" w14:textId="77777777" w:rsidR="00013C43" w:rsidRPr="00E13A10" w:rsidRDefault="00013C43" w:rsidP="00013C43">
                  <w:pPr>
                    <w:autoSpaceDE w:val="0"/>
                    <w:autoSpaceDN w:val="0"/>
                    <w:adjustRightInd w:val="0"/>
                    <w:rPr>
                      <w:bCs/>
                      <w:sz w:val="20"/>
                      <w:szCs w:val="20"/>
                    </w:rPr>
                  </w:pPr>
                  <w:r>
                    <w:rPr>
                      <w:bCs/>
                      <w:sz w:val="20"/>
                      <w:szCs w:val="20"/>
                    </w:rPr>
                    <w:t>B</w:t>
                  </w:r>
                </w:p>
              </w:tc>
              <w:tc>
                <w:tcPr>
                  <w:tcW w:w="1555" w:type="dxa"/>
                </w:tcPr>
                <w:p w14:paraId="0B8B0878" w14:textId="77777777" w:rsidR="00013C43" w:rsidRPr="00E13A10" w:rsidRDefault="00013C43" w:rsidP="00013C43">
                  <w:pPr>
                    <w:autoSpaceDE w:val="0"/>
                    <w:autoSpaceDN w:val="0"/>
                    <w:adjustRightInd w:val="0"/>
                    <w:jc w:val="center"/>
                    <w:rPr>
                      <w:bCs/>
                      <w:sz w:val="20"/>
                      <w:szCs w:val="20"/>
                    </w:rPr>
                  </w:pPr>
                  <w:r>
                    <w:rPr>
                      <w:bCs/>
                      <w:sz w:val="20"/>
                      <w:szCs w:val="20"/>
                    </w:rPr>
                    <w:t>3.0</w:t>
                  </w:r>
                </w:p>
              </w:tc>
              <w:tc>
                <w:tcPr>
                  <w:tcW w:w="1595" w:type="dxa"/>
                </w:tcPr>
                <w:p w14:paraId="6FD0A6A7" w14:textId="77777777" w:rsidR="00013C43" w:rsidRPr="00E13A10" w:rsidRDefault="00013C43" w:rsidP="00013C43">
                  <w:pPr>
                    <w:autoSpaceDE w:val="0"/>
                    <w:autoSpaceDN w:val="0"/>
                    <w:adjustRightInd w:val="0"/>
                    <w:jc w:val="center"/>
                    <w:rPr>
                      <w:bCs/>
                      <w:sz w:val="20"/>
                      <w:szCs w:val="20"/>
                    </w:rPr>
                  </w:pPr>
                  <w:r>
                    <w:rPr>
                      <w:bCs/>
                      <w:sz w:val="20"/>
                      <w:szCs w:val="20"/>
                    </w:rPr>
                    <w:t>65-69</w:t>
                  </w:r>
                </w:p>
              </w:tc>
            </w:tr>
            <w:tr w:rsidR="00013C43" w:rsidRPr="00E13A10" w14:paraId="2A54059E" w14:textId="77777777" w:rsidTr="00013C43">
              <w:tc>
                <w:tcPr>
                  <w:tcW w:w="1165" w:type="dxa"/>
                </w:tcPr>
                <w:p w14:paraId="49C77D6A" w14:textId="77777777" w:rsidR="00013C43" w:rsidRPr="00E13A10" w:rsidRDefault="00013C43" w:rsidP="00013C43">
                  <w:pPr>
                    <w:autoSpaceDE w:val="0"/>
                    <w:autoSpaceDN w:val="0"/>
                    <w:adjustRightInd w:val="0"/>
                    <w:rPr>
                      <w:bCs/>
                      <w:sz w:val="20"/>
                      <w:szCs w:val="20"/>
                    </w:rPr>
                  </w:pPr>
                  <w:r>
                    <w:rPr>
                      <w:bCs/>
                      <w:sz w:val="20"/>
                      <w:szCs w:val="20"/>
                    </w:rPr>
                    <w:t>B-</w:t>
                  </w:r>
                </w:p>
              </w:tc>
              <w:tc>
                <w:tcPr>
                  <w:tcW w:w="1555" w:type="dxa"/>
                </w:tcPr>
                <w:p w14:paraId="052328DF" w14:textId="77777777" w:rsidR="00013C43" w:rsidRPr="00E13A10" w:rsidRDefault="00013C43" w:rsidP="00013C43">
                  <w:pPr>
                    <w:autoSpaceDE w:val="0"/>
                    <w:autoSpaceDN w:val="0"/>
                    <w:adjustRightInd w:val="0"/>
                    <w:jc w:val="center"/>
                    <w:rPr>
                      <w:bCs/>
                      <w:sz w:val="20"/>
                      <w:szCs w:val="20"/>
                    </w:rPr>
                  </w:pPr>
                  <w:r>
                    <w:rPr>
                      <w:bCs/>
                      <w:sz w:val="20"/>
                      <w:szCs w:val="20"/>
                    </w:rPr>
                    <w:t>2.7</w:t>
                  </w:r>
                </w:p>
              </w:tc>
              <w:tc>
                <w:tcPr>
                  <w:tcW w:w="1595" w:type="dxa"/>
                </w:tcPr>
                <w:p w14:paraId="30E3B2ED" w14:textId="77777777" w:rsidR="00013C43" w:rsidRPr="00E13A10" w:rsidRDefault="00013C43" w:rsidP="00013C43">
                  <w:pPr>
                    <w:autoSpaceDE w:val="0"/>
                    <w:autoSpaceDN w:val="0"/>
                    <w:adjustRightInd w:val="0"/>
                    <w:jc w:val="center"/>
                    <w:rPr>
                      <w:bCs/>
                      <w:sz w:val="20"/>
                      <w:szCs w:val="20"/>
                    </w:rPr>
                  </w:pPr>
                  <w:r>
                    <w:rPr>
                      <w:bCs/>
                      <w:sz w:val="20"/>
                      <w:szCs w:val="20"/>
                    </w:rPr>
                    <w:t>60-64</w:t>
                  </w:r>
                </w:p>
              </w:tc>
            </w:tr>
            <w:tr w:rsidR="00013C43" w:rsidRPr="00E13A10" w14:paraId="26AC04F1" w14:textId="77777777" w:rsidTr="00013C43">
              <w:tc>
                <w:tcPr>
                  <w:tcW w:w="1165" w:type="dxa"/>
                </w:tcPr>
                <w:p w14:paraId="746837DE" w14:textId="77777777" w:rsidR="00013C43" w:rsidRPr="00E13A10" w:rsidRDefault="00013C43" w:rsidP="00013C43">
                  <w:pPr>
                    <w:autoSpaceDE w:val="0"/>
                    <w:autoSpaceDN w:val="0"/>
                    <w:adjustRightInd w:val="0"/>
                    <w:rPr>
                      <w:bCs/>
                      <w:sz w:val="20"/>
                      <w:szCs w:val="20"/>
                    </w:rPr>
                  </w:pPr>
                  <w:r>
                    <w:rPr>
                      <w:bCs/>
                      <w:sz w:val="20"/>
                      <w:szCs w:val="20"/>
                    </w:rPr>
                    <w:t>C+</w:t>
                  </w:r>
                </w:p>
              </w:tc>
              <w:tc>
                <w:tcPr>
                  <w:tcW w:w="1555" w:type="dxa"/>
                </w:tcPr>
                <w:p w14:paraId="5D3425B3" w14:textId="77777777" w:rsidR="00013C43" w:rsidRPr="00E13A10" w:rsidRDefault="00013C43" w:rsidP="00013C43">
                  <w:pPr>
                    <w:autoSpaceDE w:val="0"/>
                    <w:autoSpaceDN w:val="0"/>
                    <w:adjustRightInd w:val="0"/>
                    <w:jc w:val="center"/>
                    <w:rPr>
                      <w:bCs/>
                      <w:sz w:val="20"/>
                      <w:szCs w:val="20"/>
                    </w:rPr>
                  </w:pPr>
                  <w:r>
                    <w:rPr>
                      <w:bCs/>
                      <w:sz w:val="20"/>
                      <w:szCs w:val="20"/>
                    </w:rPr>
                    <w:t>2.3</w:t>
                  </w:r>
                </w:p>
              </w:tc>
              <w:tc>
                <w:tcPr>
                  <w:tcW w:w="1595" w:type="dxa"/>
                </w:tcPr>
                <w:p w14:paraId="34972D27" w14:textId="77777777" w:rsidR="00013C43" w:rsidRPr="00E13A10" w:rsidRDefault="00013C43" w:rsidP="00013C43">
                  <w:pPr>
                    <w:autoSpaceDE w:val="0"/>
                    <w:autoSpaceDN w:val="0"/>
                    <w:adjustRightInd w:val="0"/>
                    <w:jc w:val="center"/>
                    <w:rPr>
                      <w:bCs/>
                      <w:sz w:val="20"/>
                      <w:szCs w:val="20"/>
                    </w:rPr>
                  </w:pPr>
                  <w:r>
                    <w:rPr>
                      <w:bCs/>
                      <w:sz w:val="20"/>
                      <w:szCs w:val="20"/>
                    </w:rPr>
                    <w:t>65-59</w:t>
                  </w:r>
                </w:p>
              </w:tc>
            </w:tr>
            <w:tr w:rsidR="00013C43" w:rsidRPr="00E13A10" w14:paraId="6392F471" w14:textId="77777777" w:rsidTr="00013C43">
              <w:tc>
                <w:tcPr>
                  <w:tcW w:w="1165" w:type="dxa"/>
                </w:tcPr>
                <w:p w14:paraId="304647E0" w14:textId="77777777" w:rsidR="00013C43" w:rsidRPr="00E13A10" w:rsidRDefault="00013C43" w:rsidP="00013C43">
                  <w:pPr>
                    <w:autoSpaceDE w:val="0"/>
                    <w:autoSpaceDN w:val="0"/>
                    <w:adjustRightInd w:val="0"/>
                    <w:rPr>
                      <w:bCs/>
                      <w:sz w:val="20"/>
                      <w:szCs w:val="20"/>
                    </w:rPr>
                  </w:pPr>
                  <w:r>
                    <w:rPr>
                      <w:bCs/>
                      <w:sz w:val="20"/>
                      <w:szCs w:val="20"/>
                    </w:rPr>
                    <w:t>C</w:t>
                  </w:r>
                </w:p>
              </w:tc>
              <w:tc>
                <w:tcPr>
                  <w:tcW w:w="1555" w:type="dxa"/>
                </w:tcPr>
                <w:p w14:paraId="13402A4E" w14:textId="77777777" w:rsidR="00013C43" w:rsidRPr="00E13A10" w:rsidRDefault="00013C43" w:rsidP="00013C43">
                  <w:pPr>
                    <w:autoSpaceDE w:val="0"/>
                    <w:autoSpaceDN w:val="0"/>
                    <w:adjustRightInd w:val="0"/>
                    <w:jc w:val="center"/>
                    <w:rPr>
                      <w:bCs/>
                      <w:sz w:val="20"/>
                      <w:szCs w:val="20"/>
                    </w:rPr>
                  </w:pPr>
                  <w:r>
                    <w:rPr>
                      <w:bCs/>
                      <w:sz w:val="20"/>
                      <w:szCs w:val="20"/>
                    </w:rPr>
                    <w:t>2.0</w:t>
                  </w:r>
                </w:p>
              </w:tc>
              <w:tc>
                <w:tcPr>
                  <w:tcW w:w="1595" w:type="dxa"/>
                </w:tcPr>
                <w:p w14:paraId="1FA3A238" w14:textId="77777777" w:rsidR="00013C43" w:rsidRPr="00E13A10" w:rsidRDefault="00013C43" w:rsidP="00013C43">
                  <w:pPr>
                    <w:autoSpaceDE w:val="0"/>
                    <w:autoSpaceDN w:val="0"/>
                    <w:adjustRightInd w:val="0"/>
                    <w:jc w:val="center"/>
                    <w:rPr>
                      <w:bCs/>
                      <w:sz w:val="20"/>
                      <w:szCs w:val="20"/>
                    </w:rPr>
                  </w:pPr>
                  <w:r>
                    <w:rPr>
                      <w:bCs/>
                      <w:sz w:val="20"/>
                      <w:szCs w:val="20"/>
                    </w:rPr>
                    <w:t>50-54</w:t>
                  </w:r>
                </w:p>
              </w:tc>
            </w:tr>
            <w:tr w:rsidR="00013C43" w:rsidRPr="00E13A10" w14:paraId="45D4AB0F" w14:textId="77777777" w:rsidTr="00013C43">
              <w:tc>
                <w:tcPr>
                  <w:tcW w:w="1165" w:type="dxa"/>
                </w:tcPr>
                <w:p w14:paraId="17B87270" w14:textId="77777777" w:rsidR="00013C43" w:rsidRPr="00E13A10" w:rsidRDefault="00013C43" w:rsidP="00013C43">
                  <w:pPr>
                    <w:autoSpaceDE w:val="0"/>
                    <w:autoSpaceDN w:val="0"/>
                    <w:adjustRightInd w:val="0"/>
                    <w:rPr>
                      <w:bCs/>
                      <w:sz w:val="20"/>
                      <w:szCs w:val="20"/>
                    </w:rPr>
                  </w:pPr>
                  <w:r>
                    <w:rPr>
                      <w:bCs/>
                      <w:sz w:val="20"/>
                      <w:szCs w:val="20"/>
                    </w:rPr>
                    <w:t>F1</w:t>
                  </w:r>
                </w:p>
              </w:tc>
              <w:tc>
                <w:tcPr>
                  <w:tcW w:w="1555" w:type="dxa"/>
                </w:tcPr>
                <w:p w14:paraId="1A0AEEEF" w14:textId="77777777" w:rsidR="00013C43" w:rsidRPr="00E13A10" w:rsidRDefault="00013C43" w:rsidP="00013C43">
                  <w:pPr>
                    <w:autoSpaceDE w:val="0"/>
                    <w:autoSpaceDN w:val="0"/>
                    <w:adjustRightInd w:val="0"/>
                    <w:jc w:val="center"/>
                    <w:rPr>
                      <w:bCs/>
                      <w:sz w:val="20"/>
                      <w:szCs w:val="20"/>
                    </w:rPr>
                  </w:pPr>
                  <w:r>
                    <w:rPr>
                      <w:bCs/>
                      <w:sz w:val="20"/>
                      <w:szCs w:val="20"/>
                    </w:rPr>
                    <w:t>1.7</w:t>
                  </w:r>
                </w:p>
              </w:tc>
              <w:tc>
                <w:tcPr>
                  <w:tcW w:w="1595" w:type="dxa"/>
                </w:tcPr>
                <w:p w14:paraId="307CFBCD" w14:textId="77777777" w:rsidR="00013C43" w:rsidRPr="00E13A10" w:rsidRDefault="00013C43" w:rsidP="00013C43">
                  <w:pPr>
                    <w:autoSpaceDE w:val="0"/>
                    <w:autoSpaceDN w:val="0"/>
                    <w:adjustRightInd w:val="0"/>
                    <w:jc w:val="center"/>
                    <w:rPr>
                      <w:bCs/>
                      <w:sz w:val="20"/>
                      <w:szCs w:val="20"/>
                    </w:rPr>
                  </w:pPr>
                  <w:r>
                    <w:rPr>
                      <w:bCs/>
                      <w:sz w:val="20"/>
                      <w:szCs w:val="20"/>
                    </w:rPr>
                    <w:t>45-49</w:t>
                  </w:r>
                </w:p>
              </w:tc>
            </w:tr>
            <w:tr w:rsidR="00013C43" w:rsidRPr="00E13A10" w14:paraId="5E33746B" w14:textId="77777777" w:rsidTr="00013C43">
              <w:tc>
                <w:tcPr>
                  <w:tcW w:w="1165" w:type="dxa"/>
                </w:tcPr>
                <w:p w14:paraId="0AB33226" w14:textId="77777777" w:rsidR="00013C43" w:rsidRPr="00E13A10" w:rsidRDefault="00013C43" w:rsidP="00013C43">
                  <w:pPr>
                    <w:autoSpaceDE w:val="0"/>
                    <w:autoSpaceDN w:val="0"/>
                    <w:adjustRightInd w:val="0"/>
                    <w:rPr>
                      <w:bCs/>
                      <w:sz w:val="20"/>
                      <w:szCs w:val="20"/>
                    </w:rPr>
                  </w:pPr>
                  <w:r>
                    <w:rPr>
                      <w:bCs/>
                      <w:sz w:val="20"/>
                      <w:szCs w:val="20"/>
                    </w:rPr>
                    <w:t>F2</w:t>
                  </w:r>
                </w:p>
              </w:tc>
              <w:tc>
                <w:tcPr>
                  <w:tcW w:w="1555" w:type="dxa"/>
                </w:tcPr>
                <w:p w14:paraId="17978B2A" w14:textId="77777777" w:rsidR="00013C43" w:rsidRPr="00E13A10" w:rsidRDefault="00013C43" w:rsidP="00013C43">
                  <w:pPr>
                    <w:autoSpaceDE w:val="0"/>
                    <w:autoSpaceDN w:val="0"/>
                    <w:adjustRightInd w:val="0"/>
                    <w:jc w:val="center"/>
                    <w:rPr>
                      <w:bCs/>
                      <w:sz w:val="20"/>
                      <w:szCs w:val="20"/>
                    </w:rPr>
                  </w:pPr>
                  <w:r>
                    <w:rPr>
                      <w:bCs/>
                      <w:sz w:val="20"/>
                      <w:szCs w:val="20"/>
                    </w:rPr>
                    <w:t>1.3</w:t>
                  </w:r>
                </w:p>
              </w:tc>
              <w:tc>
                <w:tcPr>
                  <w:tcW w:w="1595" w:type="dxa"/>
                </w:tcPr>
                <w:p w14:paraId="2BC275F1" w14:textId="77777777" w:rsidR="00013C43" w:rsidRPr="00E13A10" w:rsidRDefault="00013C43" w:rsidP="00013C43">
                  <w:pPr>
                    <w:autoSpaceDE w:val="0"/>
                    <w:autoSpaceDN w:val="0"/>
                    <w:adjustRightInd w:val="0"/>
                    <w:jc w:val="center"/>
                    <w:rPr>
                      <w:bCs/>
                      <w:sz w:val="20"/>
                      <w:szCs w:val="20"/>
                    </w:rPr>
                  </w:pPr>
                  <w:r>
                    <w:rPr>
                      <w:bCs/>
                      <w:sz w:val="20"/>
                      <w:szCs w:val="20"/>
                    </w:rPr>
                    <w:t>40-44</w:t>
                  </w:r>
                </w:p>
              </w:tc>
            </w:tr>
            <w:tr w:rsidR="00013C43" w:rsidRPr="00E13A10" w14:paraId="7CFD3DC7" w14:textId="77777777" w:rsidTr="00013C43">
              <w:tc>
                <w:tcPr>
                  <w:tcW w:w="1165" w:type="dxa"/>
                </w:tcPr>
                <w:p w14:paraId="77060CDA" w14:textId="77777777" w:rsidR="00013C43" w:rsidRPr="00E13A10" w:rsidRDefault="00013C43" w:rsidP="00013C43">
                  <w:pPr>
                    <w:autoSpaceDE w:val="0"/>
                    <w:autoSpaceDN w:val="0"/>
                    <w:adjustRightInd w:val="0"/>
                    <w:rPr>
                      <w:bCs/>
                      <w:sz w:val="20"/>
                      <w:szCs w:val="20"/>
                    </w:rPr>
                  </w:pPr>
                  <w:r>
                    <w:rPr>
                      <w:bCs/>
                      <w:sz w:val="20"/>
                      <w:szCs w:val="20"/>
                    </w:rPr>
                    <w:t>F3</w:t>
                  </w:r>
                </w:p>
              </w:tc>
              <w:tc>
                <w:tcPr>
                  <w:tcW w:w="1555" w:type="dxa"/>
                </w:tcPr>
                <w:p w14:paraId="3E27FB2F" w14:textId="77777777" w:rsidR="00013C43" w:rsidRPr="00E13A10" w:rsidRDefault="00013C43" w:rsidP="00013C43">
                  <w:pPr>
                    <w:autoSpaceDE w:val="0"/>
                    <w:autoSpaceDN w:val="0"/>
                    <w:adjustRightInd w:val="0"/>
                    <w:jc w:val="center"/>
                    <w:rPr>
                      <w:bCs/>
                      <w:sz w:val="20"/>
                      <w:szCs w:val="20"/>
                    </w:rPr>
                  </w:pPr>
                  <w:r>
                    <w:rPr>
                      <w:bCs/>
                      <w:sz w:val="20"/>
                      <w:szCs w:val="20"/>
                    </w:rPr>
                    <w:t>0</w:t>
                  </w:r>
                </w:p>
              </w:tc>
              <w:tc>
                <w:tcPr>
                  <w:tcW w:w="1595" w:type="dxa"/>
                </w:tcPr>
                <w:p w14:paraId="1EDC1ACF" w14:textId="77777777" w:rsidR="00013C43" w:rsidRPr="00E13A10" w:rsidRDefault="00013C43" w:rsidP="00013C43">
                  <w:pPr>
                    <w:autoSpaceDE w:val="0"/>
                    <w:autoSpaceDN w:val="0"/>
                    <w:adjustRightInd w:val="0"/>
                    <w:jc w:val="center"/>
                    <w:rPr>
                      <w:bCs/>
                      <w:sz w:val="20"/>
                      <w:szCs w:val="20"/>
                    </w:rPr>
                  </w:pPr>
                  <w:r>
                    <w:rPr>
                      <w:bCs/>
                      <w:sz w:val="20"/>
                      <w:szCs w:val="20"/>
                    </w:rPr>
                    <w:t>0-39</w:t>
                  </w:r>
                </w:p>
              </w:tc>
            </w:tr>
          </w:tbl>
          <w:p w14:paraId="1A37FF8B" w14:textId="77777777" w:rsidR="0005750C" w:rsidRPr="00FC6B72" w:rsidRDefault="0005750C" w:rsidP="003C5852"/>
        </w:tc>
      </w:tr>
    </w:tbl>
    <w:p w14:paraId="2213FC8F" w14:textId="77777777" w:rsidR="0005750C" w:rsidRDefault="0005750C" w:rsidP="0005750C">
      <w:pPr>
        <w:rPr>
          <w:szCs w:val="23"/>
        </w:rPr>
      </w:pPr>
    </w:p>
    <w:p w14:paraId="73CCB1EB" w14:textId="77777777" w:rsidR="0005750C" w:rsidRPr="0005750C" w:rsidRDefault="0005750C" w:rsidP="0005750C">
      <w:pPr>
        <w:rPr>
          <w:szCs w:val="23"/>
        </w:rPr>
      </w:pPr>
    </w:p>
    <w:p w14:paraId="0ED27883" w14:textId="4FD83332" w:rsidR="0005750C" w:rsidRPr="0005750C" w:rsidRDefault="00EC08D3" w:rsidP="0005750C">
      <w:pPr>
        <w:rPr>
          <w:b/>
          <w:szCs w:val="23"/>
        </w:rPr>
      </w:pPr>
      <w:r>
        <w:rPr>
          <w:b/>
          <w:szCs w:val="23"/>
        </w:rPr>
        <w:t>January 202</w:t>
      </w:r>
      <w:r w:rsidR="006756C3">
        <w:rPr>
          <w:b/>
          <w:szCs w:val="23"/>
        </w:rPr>
        <w:t>2</w:t>
      </w:r>
    </w:p>
    <w:sectPr w:rsidR="0005750C" w:rsidRPr="00057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503"/>
    <w:multiLevelType w:val="hybridMultilevel"/>
    <w:tmpl w:val="6A2C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714C"/>
    <w:multiLevelType w:val="hybridMultilevel"/>
    <w:tmpl w:val="0AEAF89A"/>
    <w:lvl w:ilvl="0" w:tplc="A754DC26">
      <w:start w:val="1"/>
      <w:numFmt w:val="decimal"/>
      <w:lvlText w:val="(%1)"/>
      <w:lvlJc w:val="left"/>
      <w:pPr>
        <w:ind w:left="360" w:hanging="360"/>
      </w:pPr>
    </w:lvl>
    <w:lvl w:ilvl="1" w:tplc="2C090019">
      <w:start w:val="1"/>
      <w:numFmt w:val="lowerLetter"/>
      <w:lvlText w:val="%2."/>
      <w:lvlJc w:val="left"/>
      <w:pPr>
        <w:ind w:left="1080" w:hanging="360"/>
      </w:pPr>
    </w:lvl>
    <w:lvl w:ilvl="2" w:tplc="2C09001B">
      <w:start w:val="1"/>
      <w:numFmt w:val="lowerRoman"/>
      <w:lvlText w:val="%3."/>
      <w:lvlJc w:val="right"/>
      <w:pPr>
        <w:ind w:left="1800" w:hanging="180"/>
      </w:pPr>
    </w:lvl>
    <w:lvl w:ilvl="3" w:tplc="2C09000F">
      <w:start w:val="1"/>
      <w:numFmt w:val="decimal"/>
      <w:lvlText w:val="%4."/>
      <w:lvlJc w:val="left"/>
      <w:pPr>
        <w:ind w:left="2520" w:hanging="360"/>
      </w:pPr>
    </w:lvl>
    <w:lvl w:ilvl="4" w:tplc="2C090019">
      <w:start w:val="1"/>
      <w:numFmt w:val="lowerLetter"/>
      <w:lvlText w:val="%5."/>
      <w:lvlJc w:val="left"/>
      <w:pPr>
        <w:ind w:left="3240" w:hanging="360"/>
      </w:pPr>
    </w:lvl>
    <w:lvl w:ilvl="5" w:tplc="2C09001B">
      <w:start w:val="1"/>
      <w:numFmt w:val="lowerRoman"/>
      <w:lvlText w:val="%6."/>
      <w:lvlJc w:val="right"/>
      <w:pPr>
        <w:ind w:left="3960" w:hanging="180"/>
      </w:pPr>
    </w:lvl>
    <w:lvl w:ilvl="6" w:tplc="2C09000F">
      <w:start w:val="1"/>
      <w:numFmt w:val="decimal"/>
      <w:lvlText w:val="%7."/>
      <w:lvlJc w:val="left"/>
      <w:pPr>
        <w:ind w:left="4680" w:hanging="360"/>
      </w:pPr>
    </w:lvl>
    <w:lvl w:ilvl="7" w:tplc="2C090019">
      <w:start w:val="1"/>
      <w:numFmt w:val="lowerLetter"/>
      <w:lvlText w:val="%8."/>
      <w:lvlJc w:val="left"/>
      <w:pPr>
        <w:ind w:left="5400" w:hanging="360"/>
      </w:pPr>
    </w:lvl>
    <w:lvl w:ilvl="8" w:tplc="2C09001B">
      <w:start w:val="1"/>
      <w:numFmt w:val="lowerRoman"/>
      <w:lvlText w:val="%9."/>
      <w:lvlJc w:val="right"/>
      <w:pPr>
        <w:ind w:left="6120" w:hanging="180"/>
      </w:pPr>
    </w:lvl>
  </w:abstractNum>
  <w:abstractNum w:abstractNumId="2" w15:restartNumberingAfterBreak="0">
    <w:nsid w:val="202F6862"/>
    <w:multiLevelType w:val="hybridMultilevel"/>
    <w:tmpl w:val="046E2D20"/>
    <w:lvl w:ilvl="0" w:tplc="7332C8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231D5"/>
    <w:multiLevelType w:val="hybridMultilevel"/>
    <w:tmpl w:val="52CE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E7E98"/>
    <w:multiLevelType w:val="hybridMultilevel"/>
    <w:tmpl w:val="B3124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7427"/>
    <w:multiLevelType w:val="hybridMultilevel"/>
    <w:tmpl w:val="9EFEFD54"/>
    <w:lvl w:ilvl="0" w:tplc="32DA3DB6">
      <w:start w:val="1"/>
      <w:numFmt w:val="decimal"/>
      <w:lvlText w:val="%1."/>
      <w:lvlJc w:val="left"/>
      <w:pPr>
        <w:ind w:left="2145" w:hanging="360"/>
      </w:pPr>
      <w:rPr>
        <w:b w:val="0"/>
        <w:i w:val="0"/>
        <w:sz w:val="20"/>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6" w15:restartNumberingAfterBreak="0">
    <w:nsid w:val="3E8D6660"/>
    <w:multiLevelType w:val="hybridMultilevel"/>
    <w:tmpl w:val="9DB2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54159"/>
    <w:multiLevelType w:val="hybridMultilevel"/>
    <w:tmpl w:val="71B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A7E22"/>
    <w:multiLevelType w:val="hybridMultilevel"/>
    <w:tmpl w:val="8788E8E0"/>
    <w:lvl w:ilvl="0" w:tplc="C8E8F7E0">
      <w:start w:val="1"/>
      <w:numFmt w:val="lowerLetter"/>
      <w:lvlText w:val="(%1)"/>
      <w:lvlJc w:val="left"/>
      <w:pPr>
        <w:tabs>
          <w:tab w:val="num" w:pos="720"/>
        </w:tabs>
        <w:ind w:left="720" w:hanging="360"/>
      </w:pPr>
      <w:rPr>
        <w:rFonts w:hint="default"/>
      </w:rPr>
    </w:lvl>
    <w:lvl w:ilvl="1" w:tplc="1BE6C63E">
      <w:start w:val="1"/>
      <w:numFmt w:val="decimal"/>
      <w:lvlText w:val="%2)"/>
      <w:lvlJc w:val="left"/>
      <w:pPr>
        <w:tabs>
          <w:tab w:val="num" w:pos="1440"/>
        </w:tabs>
        <w:ind w:left="1440" w:hanging="360"/>
      </w:pPr>
      <w:rPr>
        <w:rFonts w:hint="default"/>
      </w:rPr>
    </w:lvl>
    <w:lvl w:ilvl="2" w:tplc="6CFC9CCA">
      <w:start w:val="1"/>
      <w:numFmt w:val="lowerRoman"/>
      <w:lvlText w:val="%3."/>
      <w:lvlJc w:val="righ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64987"/>
    <w:multiLevelType w:val="hybridMultilevel"/>
    <w:tmpl w:val="CD6A126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9359C"/>
    <w:multiLevelType w:val="hybridMultilevel"/>
    <w:tmpl w:val="AFE0A74A"/>
    <w:lvl w:ilvl="0" w:tplc="0409001B">
      <w:start w:val="1"/>
      <w:numFmt w:val="lowerRoman"/>
      <w:lvlText w:val="%1."/>
      <w:lvlJc w:val="right"/>
      <w:pPr>
        <w:tabs>
          <w:tab w:val="num" w:pos="2520"/>
        </w:tabs>
        <w:ind w:left="2520" w:hanging="1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7C21727"/>
    <w:multiLevelType w:val="hybridMultilevel"/>
    <w:tmpl w:val="B4E8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D7D13"/>
    <w:multiLevelType w:val="hybridMultilevel"/>
    <w:tmpl w:val="AE5ED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54B93"/>
    <w:multiLevelType w:val="hybridMultilevel"/>
    <w:tmpl w:val="046E2D20"/>
    <w:lvl w:ilvl="0" w:tplc="7332C8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A6322"/>
    <w:multiLevelType w:val="hybridMultilevel"/>
    <w:tmpl w:val="7382A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414F4"/>
    <w:multiLevelType w:val="hybridMultilevel"/>
    <w:tmpl w:val="CDF85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D2E9B"/>
    <w:multiLevelType w:val="hybridMultilevel"/>
    <w:tmpl w:val="4B4E5E32"/>
    <w:lvl w:ilvl="0" w:tplc="2C090011">
      <w:start w:val="1"/>
      <w:numFmt w:val="decimal"/>
      <w:lvlText w:val="%1)"/>
      <w:lvlJc w:val="left"/>
      <w:pPr>
        <w:ind w:left="720" w:hanging="360"/>
      </w:pPr>
      <w:rPr>
        <w:rFonts w:hint="default"/>
        <w:sz w:val="2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7" w15:restartNumberingAfterBreak="0">
    <w:nsid w:val="7A6F4771"/>
    <w:multiLevelType w:val="hybridMultilevel"/>
    <w:tmpl w:val="168E829C"/>
    <w:lvl w:ilvl="0" w:tplc="6CFC9CCA">
      <w:start w:val="1"/>
      <w:numFmt w:val="lowerRoman"/>
      <w:lvlText w:val="%1."/>
      <w:lvlJc w:val="right"/>
      <w:pPr>
        <w:tabs>
          <w:tab w:val="num" w:pos="270"/>
        </w:tabs>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13"/>
  </w:num>
  <w:num w:numId="5">
    <w:abstractNumId w:val="14"/>
  </w:num>
  <w:num w:numId="6">
    <w:abstractNumId w:val="8"/>
  </w:num>
  <w:num w:numId="7">
    <w:abstractNumId w:val="17"/>
  </w:num>
  <w:num w:numId="8">
    <w:abstractNumId w:val="10"/>
  </w:num>
  <w:num w:numId="9">
    <w:abstractNumId w:val="15"/>
  </w:num>
  <w:num w:numId="10">
    <w:abstractNumId w:val="4"/>
  </w:num>
  <w:num w:numId="11">
    <w:abstractNumId w:val="5"/>
  </w:num>
  <w:num w:numId="12">
    <w:abstractNumId w:val="6"/>
  </w:num>
  <w:num w:numId="13">
    <w:abstractNumId w:val="0"/>
  </w:num>
  <w:num w:numId="14">
    <w:abstractNumId w:val="3"/>
  </w:num>
  <w:num w:numId="15">
    <w:abstractNumId w:val="1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4C"/>
    <w:rsid w:val="00013C43"/>
    <w:rsid w:val="0005750C"/>
    <w:rsid w:val="00075082"/>
    <w:rsid w:val="000A7C14"/>
    <w:rsid w:val="0013688C"/>
    <w:rsid w:val="00152756"/>
    <w:rsid w:val="001732D6"/>
    <w:rsid w:val="001847C9"/>
    <w:rsid w:val="001A1203"/>
    <w:rsid w:val="00241DE9"/>
    <w:rsid w:val="002C0105"/>
    <w:rsid w:val="002D5269"/>
    <w:rsid w:val="002E6A3B"/>
    <w:rsid w:val="00324C25"/>
    <w:rsid w:val="00345DEC"/>
    <w:rsid w:val="003A2D12"/>
    <w:rsid w:val="003C0FFA"/>
    <w:rsid w:val="004143A3"/>
    <w:rsid w:val="00486962"/>
    <w:rsid w:val="004C1C34"/>
    <w:rsid w:val="004C6E5A"/>
    <w:rsid w:val="00570402"/>
    <w:rsid w:val="005C0376"/>
    <w:rsid w:val="00610A4C"/>
    <w:rsid w:val="00613F22"/>
    <w:rsid w:val="00625335"/>
    <w:rsid w:val="006756C3"/>
    <w:rsid w:val="0070048A"/>
    <w:rsid w:val="0073089D"/>
    <w:rsid w:val="00784B05"/>
    <w:rsid w:val="00786B4A"/>
    <w:rsid w:val="007A0D76"/>
    <w:rsid w:val="00814D6C"/>
    <w:rsid w:val="00882DF1"/>
    <w:rsid w:val="008F2462"/>
    <w:rsid w:val="00911901"/>
    <w:rsid w:val="00917FB2"/>
    <w:rsid w:val="009242D8"/>
    <w:rsid w:val="00966AF6"/>
    <w:rsid w:val="009A46D2"/>
    <w:rsid w:val="009B0AF5"/>
    <w:rsid w:val="009C30E8"/>
    <w:rsid w:val="009E52F4"/>
    <w:rsid w:val="009F5EFE"/>
    <w:rsid w:val="00A95BBE"/>
    <w:rsid w:val="00AB09CA"/>
    <w:rsid w:val="00AD31C7"/>
    <w:rsid w:val="00AF29E0"/>
    <w:rsid w:val="00B154CB"/>
    <w:rsid w:val="00B15EB2"/>
    <w:rsid w:val="00B73148"/>
    <w:rsid w:val="00CE3273"/>
    <w:rsid w:val="00DE77A3"/>
    <w:rsid w:val="00EC08D3"/>
    <w:rsid w:val="00F733CC"/>
    <w:rsid w:val="00FB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DDB4"/>
  <w15:docId w15:val="{BE2216B0-D0A8-45D1-B113-94A6974A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A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32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10A4C"/>
    <w:pPr>
      <w:keepNext/>
      <w:framePr w:hSpace="180" w:wrap="notBeside" w:hAnchor="margin" w:y="557"/>
      <w:outlineLvl w:val="1"/>
    </w:pPr>
    <w:rPr>
      <w:b/>
      <w:sz w:val="36"/>
    </w:rPr>
  </w:style>
  <w:style w:type="paragraph" w:styleId="Heading3">
    <w:name w:val="heading 3"/>
    <w:basedOn w:val="Normal"/>
    <w:next w:val="Normal"/>
    <w:link w:val="Heading3Char"/>
    <w:uiPriority w:val="9"/>
    <w:semiHidden/>
    <w:unhideWhenUsed/>
    <w:qFormat/>
    <w:rsid w:val="00B731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10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A4C"/>
    <w:rPr>
      <w:rFonts w:ascii="Times New Roman" w:eastAsia="Times New Roman" w:hAnsi="Times New Roman" w:cs="Times New Roman"/>
      <w:b/>
      <w:sz w:val="36"/>
      <w:szCs w:val="24"/>
    </w:rPr>
  </w:style>
  <w:style w:type="character" w:styleId="Hyperlink">
    <w:name w:val="Hyperlink"/>
    <w:rsid w:val="00610A4C"/>
    <w:rPr>
      <w:color w:val="666666"/>
      <w:u w:val="single"/>
    </w:rPr>
  </w:style>
  <w:style w:type="character" w:styleId="Strong">
    <w:name w:val="Strong"/>
    <w:qFormat/>
    <w:rsid w:val="00610A4C"/>
    <w:rPr>
      <w:b/>
      <w:bCs/>
    </w:rPr>
  </w:style>
  <w:style w:type="paragraph" w:styleId="NoSpacing">
    <w:name w:val="No Spacing"/>
    <w:link w:val="NoSpacingChar"/>
    <w:uiPriority w:val="1"/>
    <w:qFormat/>
    <w:rsid w:val="00610A4C"/>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610A4C"/>
    <w:pPr>
      <w:tabs>
        <w:tab w:val="left" w:pos="2610"/>
      </w:tabs>
      <w:jc w:val="both"/>
    </w:pPr>
    <w:rPr>
      <w:szCs w:val="20"/>
    </w:rPr>
  </w:style>
  <w:style w:type="character" w:customStyle="1" w:styleId="SubtitleChar">
    <w:name w:val="Subtitle Char"/>
    <w:basedOn w:val="DefaultParagraphFont"/>
    <w:link w:val="Subtitle"/>
    <w:rsid w:val="00610A4C"/>
    <w:rPr>
      <w:rFonts w:ascii="Times New Roman" w:eastAsia="Times New Roman" w:hAnsi="Times New Roman" w:cs="Times New Roman"/>
      <w:sz w:val="24"/>
      <w:szCs w:val="20"/>
    </w:rPr>
  </w:style>
  <w:style w:type="table" w:styleId="TableGrid">
    <w:name w:val="Table Grid"/>
    <w:basedOn w:val="TableNormal"/>
    <w:uiPriority w:val="59"/>
    <w:rsid w:val="0061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A4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3Char">
    <w:name w:val="Heading 3 Char"/>
    <w:basedOn w:val="DefaultParagraphFont"/>
    <w:link w:val="Heading3"/>
    <w:uiPriority w:val="9"/>
    <w:semiHidden/>
    <w:rsid w:val="00B73148"/>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B73148"/>
    <w:pPr>
      <w:ind w:left="720"/>
      <w:contextualSpacing/>
    </w:pPr>
  </w:style>
  <w:style w:type="character" w:customStyle="1" w:styleId="Heading1Char">
    <w:name w:val="Heading 1 Char"/>
    <w:basedOn w:val="DefaultParagraphFont"/>
    <w:link w:val="Heading1"/>
    <w:uiPriority w:val="9"/>
    <w:rsid w:val="00CE3273"/>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9F5EFE"/>
    <w:rPr>
      <w:rFonts w:ascii="Times New Roman" w:eastAsia="Times New Roman" w:hAnsi="Times New Roman" w:cs="Times New Roman"/>
      <w:sz w:val="24"/>
      <w:szCs w:val="24"/>
    </w:rPr>
  </w:style>
  <w:style w:type="paragraph" w:styleId="Title">
    <w:name w:val="Title"/>
    <w:basedOn w:val="Normal"/>
    <w:link w:val="TitleChar"/>
    <w:qFormat/>
    <w:rsid w:val="0013688C"/>
    <w:pPr>
      <w:jc w:val="center"/>
    </w:pPr>
    <w:rPr>
      <w:b/>
      <w:szCs w:val="20"/>
      <w:lang w:val="en-GB"/>
    </w:rPr>
  </w:style>
  <w:style w:type="character" w:customStyle="1" w:styleId="TitleChar">
    <w:name w:val="Title Char"/>
    <w:basedOn w:val="DefaultParagraphFont"/>
    <w:link w:val="Title"/>
    <w:rsid w:val="0013688C"/>
    <w:rPr>
      <w:rFonts w:ascii="Times New Roman" w:eastAsia="Times New Roman" w:hAnsi="Times New Roman" w:cs="Times New Roman"/>
      <w:b/>
      <w:sz w:val="24"/>
      <w:szCs w:val="20"/>
      <w:lang w:val="en-GB"/>
    </w:rPr>
  </w:style>
  <w:style w:type="paragraph" w:styleId="FootnoteText">
    <w:name w:val="footnote text"/>
    <w:aliases w:val="Footnote Text Char Char,Footnote Text Char Char Char Char"/>
    <w:basedOn w:val="Normal"/>
    <w:link w:val="FootnoteTextChar"/>
    <w:rsid w:val="0013688C"/>
    <w:rPr>
      <w:sz w:val="20"/>
      <w:szCs w:val="20"/>
    </w:rPr>
  </w:style>
  <w:style w:type="character" w:customStyle="1" w:styleId="FootnoteTextChar">
    <w:name w:val="Footnote Text Char"/>
    <w:aliases w:val="Footnote Text Char Char Char,Footnote Text Char Char Char Char Char"/>
    <w:basedOn w:val="DefaultParagraphFont"/>
    <w:link w:val="FootnoteText"/>
    <w:rsid w:val="0013688C"/>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2C010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49004">
      <w:bodyDiv w:val="1"/>
      <w:marLeft w:val="0"/>
      <w:marRight w:val="0"/>
      <w:marTop w:val="0"/>
      <w:marBottom w:val="0"/>
      <w:divBdr>
        <w:top w:val="none" w:sz="0" w:space="0" w:color="auto"/>
        <w:left w:val="none" w:sz="0" w:space="0" w:color="auto"/>
        <w:bottom w:val="none" w:sz="0" w:space="0" w:color="auto"/>
        <w:right w:val="none" w:sz="0" w:space="0" w:color="auto"/>
      </w:divBdr>
    </w:div>
    <w:div w:id="1370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2119</Words>
  <Characters>12084</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At the end of this course, the students will be able to: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Ranita</dc:creator>
  <cp:lastModifiedBy>Rebecca Gookool</cp:lastModifiedBy>
  <cp:revision>5</cp:revision>
  <dcterms:created xsi:type="dcterms:W3CDTF">2022-01-18T15:38:00Z</dcterms:created>
  <dcterms:modified xsi:type="dcterms:W3CDTF">2022-01-18T15:45:00Z</dcterms:modified>
</cp:coreProperties>
</file>