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4" w:after="1" w:line="240"/>
        <w:ind w:right="0" w:left="0" w:firstLine="0"/>
        <w:jc w:val="left"/>
        <w:rPr>
          <w:rFonts w:ascii="Times New Roman" w:hAnsi="Times New Roman" w:cs="Times New Roman" w:eastAsia="Times New Roman"/>
          <w:color w:val="auto"/>
          <w:spacing w:val="0"/>
          <w:position w:val="0"/>
          <w:sz w:val="19"/>
          <w:shd w:fill="auto" w:val="clear"/>
        </w:rPr>
      </w:pPr>
    </w:p>
    <w:tbl>
      <w:tblPr>
        <w:tblInd w:w="100" w:type="dxa"/>
      </w:tblPr>
      <w:tblGrid>
        <w:gridCol w:w="8933"/>
      </w:tblGrid>
      <w:tr>
        <w:trPr>
          <w:trHeight w:val="200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2"/>
              <w:ind w:right="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COURSE CODE: </w:t>
            </w:r>
            <w:r>
              <w:rPr>
                <w:rFonts w:ascii="Times New Roman" w:hAnsi="Times New Roman" w:cs="Times New Roman" w:eastAsia="Times New Roman"/>
                <w:color w:val="000000"/>
                <w:spacing w:val="0"/>
                <w:position w:val="0"/>
                <w:sz w:val="22"/>
                <w:shd w:fill="auto" w:val="clear"/>
              </w:rPr>
              <w:t xml:space="preserve">ECON 6001</w:t>
            </w:r>
          </w:p>
          <w:p>
            <w:pPr>
              <w:spacing w:before="0" w:after="0" w:line="240"/>
              <w:ind w:right="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COURSE TITLE: </w:t>
            </w:r>
            <w:r>
              <w:rPr>
                <w:rFonts w:ascii="Times New Roman" w:hAnsi="Times New Roman" w:cs="Times New Roman" w:eastAsia="Times New Roman"/>
                <w:color w:val="000000"/>
                <w:spacing w:val="0"/>
                <w:position w:val="0"/>
                <w:sz w:val="22"/>
                <w:shd w:fill="auto" w:val="clear"/>
              </w:rPr>
              <w:t xml:space="preserve">MACROECONOMIC THEORY</w:t>
            </w:r>
          </w:p>
          <w:p>
            <w:pPr>
              <w:spacing w:before="0" w:after="0" w:line="240"/>
              <w:ind w:right="6121"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LEVEL: </w:t>
            </w:r>
            <w:r>
              <w:rPr>
                <w:rFonts w:ascii="Times New Roman" w:hAnsi="Times New Roman" w:cs="Times New Roman" w:eastAsia="Times New Roman"/>
                <w:color w:val="000000"/>
                <w:spacing w:val="0"/>
                <w:position w:val="0"/>
                <w:sz w:val="22"/>
                <w:shd w:fill="auto" w:val="clear"/>
              </w:rPr>
              <w:t xml:space="preserve">MSc./M.Phil/Ph.D. </w:t>
            </w:r>
            <w:r>
              <w:rPr>
                <w:rFonts w:ascii="Times New Roman" w:hAnsi="Times New Roman" w:cs="Times New Roman" w:eastAsia="Times New Roman"/>
                <w:b/>
                <w:color w:val="000000"/>
                <w:spacing w:val="0"/>
                <w:position w:val="0"/>
                <w:sz w:val="22"/>
                <w:shd w:fill="auto" w:val="clear"/>
              </w:rPr>
              <w:t xml:space="preserve">NO OF CREDITS: </w:t>
            </w:r>
            <w:r>
              <w:rPr>
                <w:rFonts w:ascii="Times New Roman" w:hAnsi="Times New Roman" w:cs="Times New Roman" w:eastAsia="Times New Roman"/>
                <w:color w:val="000000"/>
                <w:spacing w:val="0"/>
                <w:position w:val="0"/>
                <w:sz w:val="22"/>
                <w:shd w:fill="auto" w:val="clear"/>
              </w:rPr>
              <w:t xml:space="preserve">5 </w:t>
            </w:r>
            <w:r>
              <w:rPr>
                <w:rFonts w:ascii="Times New Roman" w:hAnsi="Times New Roman" w:cs="Times New Roman" w:eastAsia="Times New Roman"/>
                <w:b/>
                <w:color w:val="000000"/>
                <w:spacing w:val="0"/>
                <w:position w:val="0"/>
                <w:sz w:val="22"/>
                <w:shd w:fill="auto" w:val="clear"/>
              </w:rPr>
              <w:t xml:space="preserve">SEMESTER: </w:t>
            </w:r>
            <w:r>
              <w:rPr>
                <w:rFonts w:ascii="Times New Roman" w:hAnsi="Times New Roman" w:cs="Times New Roman" w:eastAsia="Times New Roman"/>
                <w:color w:val="000000"/>
                <w:spacing w:val="0"/>
                <w:position w:val="0"/>
                <w:sz w:val="22"/>
                <w:shd w:fill="auto" w:val="clear"/>
              </w:rPr>
              <w:t xml:space="preserve">YEAR LONG</w:t>
            </w:r>
          </w:p>
          <w:p>
            <w:pPr>
              <w:spacing w:before="0" w:after="0" w:line="240"/>
              <w:ind w:right="120" w:left="200"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Prerequisites: </w:t>
            </w:r>
            <w:r>
              <w:rPr>
                <w:rFonts w:ascii="Times New Roman" w:hAnsi="Times New Roman" w:cs="Times New Roman" w:eastAsia="Times New Roman"/>
                <w:color w:val="000000"/>
                <w:spacing w:val="0"/>
                <w:position w:val="0"/>
                <w:sz w:val="22"/>
                <w:shd w:fill="auto" w:val="clear"/>
              </w:rPr>
              <w:t xml:space="preserve">None. It is desirable that students reading this course should have successfully read Level II Intermediate Macroeconomics I and Intermediate Macroeconomics II.</w:t>
            </w:r>
          </w:p>
        </w:tc>
      </w:tr>
      <w:tr>
        <w:trPr>
          <w:trHeight w:val="240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7" w:after="0" w:line="240"/>
              <w:ind w:right="0" w:left="0" w:firstLine="0"/>
              <w:jc w:val="left"/>
              <w:rPr>
                <w:rFonts w:ascii="Times New Roman" w:hAnsi="Times New Roman" w:cs="Times New Roman" w:eastAsia="Times New Roman"/>
                <w:color w:val="000000"/>
                <w:spacing w:val="0"/>
                <w:position w:val="0"/>
                <w:sz w:val="21"/>
                <w:shd w:fill="auto" w:val="clear"/>
              </w:rPr>
            </w:pPr>
          </w:p>
          <w:p>
            <w:pPr>
              <w:spacing w:before="0" w:after="0" w:line="240"/>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COURSE DESCRIPTION</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Overview:</w:t>
            </w:r>
          </w:p>
          <w:p>
            <w:pPr>
              <w:spacing w:before="0" w:after="0" w:line="240"/>
              <w:ind w:right="198" w:left="200" w:firstLine="0"/>
              <w:jc w:val="both"/>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This course explores advanced contemporary topics in macroeconomics such as macroeconomic dynamics, modern growth theory and dynamic stochastic general equilibrium models (DSGE). Moreover, it covers contemporary mathematical methods as they apply to macroeconomics. The students will understand and be able to participate in the public institutions and policies of Trinidad and Tobago as well as the rest of the Caribbean.</w:t>
            </w:r>
          </w:p>
        </w:tc>
      </w:tr>
      <w:tr>
        <w:trPr>
          <w:trHeight w:val="820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52"/>
              <w:ind w:right="0" w:left="200" w:firstLine="0"/>
              <w:jc w:val="both"/>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Course Organization:</w:t>
            </w:r>
          </w:p>
          <w:p>
            <w:pPr>
              <w:spacing w:before="0" w:after="0" w:line="240"/>
              <w:ind w:right="199"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This course is organized into major topics namely economic growth, monetary economics, unemployment and real business cycles.</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2"/>
                <w:shd w:fill="auto" w:val="clear"/>
              </w:rPr>
              <w:t xml:space="preserve">There will be one weekly session of three (3) hours duration. The session would be organized into a two (2) hr lecture and a one (1) hr discussion. Attendance is mandatory for all sessions.</w:t>
            </w:r>
          </w:p>
          <w:p>
            <w:pPr>
              <w:spacing w:before="2"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205"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The teaching approach will be interactive where the student’s input and feedback are encouraged. There will be a fair balance between the quantitative, theoretical, and the practical empirical components. As far as assessments, there will be regular homework assignments to evaluate understanding. In addition, there will be a final exam and a written project.</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201"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This course fits well with the mission of the Department and the University in terms of its contribution to preparing students at the graduate level who will be equipped for a career in the public and private sectors locally and regionally. The students will understand and be able to participate in the government’s institutions in Trinidad and Tobago as well as the rest of the Caribbean.</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0"/>
                <w:shd w:fill="auto" w:val="clear"/>
              </w:rPr>
            </w:pPr>
          </w:p>
          <w:p>
            <w:pPr>
              <w:spacing w:before="0" w:after="0" w:line="252"/>
              <w:ind w:right="0" w:left="200" w:firstLine="0"/>
              <w:jc w:val="both"/>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PURPOSE OF THE COURSE</w:t>
            </w:r>
          </w:p>
          <w:p>
            <w:pPr>
              <w:spacing w:before="0" w:after="0" w:line="240"/>
              <w:ind w:right="200"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The purpose of this course is to enhance the macroeconomic knowledge of students and to improve their techniques of decision making. It is envisioned that a typical student of Advanced Macroeconomics may one day be making policy decisions in a central bank, a finance/economics ministry or an international financial institution, but first must have training with a high level of intellectual rigor. This is not an appropriate course for students who want a basic exposure to open-economy macroeconomics. It requires sustained immersion in relevant economic theory, and aside from a descriptive/historical perspective, students would be required to synthesize the various viewpoints for deeper analysis.</w:t>
            </w:r>
          </w:p>
          <w:p>
            <w:pPr>
              <w:spacing w:before="11" w:after="0" w:line="240"/>
              <w:ind w:right="0" w:left="0" w:firstLine="0"/>
              <w:jc w:val="left"/>
              <w:rPr>
                <w:rFonts w:ascii="Times New Roman" w:hAnsi="Times New Roman" w:cs="Times New Roman" w:eastAsia="Times New Roman"/>
                <w:color w:val="000000"/>
                <w:spacing w:val="0"/>
                <w:position w:val="0"/>
                <w:sz w:val="21"/>
                <w:shd w:fill="auto" w:val="clear"/>
              </w:rPr>
            </w:pPr>
          </w:p>
          <w:p>
            <w:pPr>
              <w:spacing w:before="0" w:after="0" w:line="240"/>
              <w:ind w:right="203"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One of the aims of this course is to ensure that students can distinguish amongst the various theories that have evolved within the discipline of economics and how closely these theories can</w:t>
            </w:r>
          </w:p>
          <w:p>
            <w:pPr>
              <w:spacing w:before="0" w:after="0" w:line="240"/>
              <w:ind w:right="203" w:left="200" w:firstLine="0"/>
              <w:jc w:val="both"/>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explain modern-day observations. Students would then be able to appreciate the value of macroeconomic  approaches,  whether  these  should  be  used  independently  and/or  when they</w:t>
            </w:r>
          </w:p>
        </w:tc>
      </w:tr>
    </w:tbl>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tbl>
      <w:tblPr>
        <w:tblInd w:w="100" w:type="dxa"/>
      </w:tblPr>
      <w:tblGrid>
        <w:gridCol w:w="8933"/>
      </w:tblGrid>
      <w:tr>
        <w:trPr>
          <w:trHeight w:val="36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2"/>
              <w:ind w:right="0" w:left="20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should be combined for a more comprehensive analysis.</w:t>
            </w:r>
          </w:p>
        </w:tc>
      </w:tr>
      <w:tr>
        <w:trPr>
          <w:trHeight w:val="150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INSTRUCTOR INFORMATION</w:t>
            </w:r>
          </w:p>
          <w:p>
            <w:pPr>
              <w:spacing w:before="0" w:after="0" w:line="240"/>
              <w:ind w:right="458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L</w:t>
            </w:r>
            <w:r>
              <w:rPr>
                <w:rFonts w:ascii="Times New Roman" w:hAnsi="Times New Roman" w:cs="Times New Roman" w:eastAsia="Times New Roman"/>
                <w:color w:val="000000"/>
                <w:spacing w:val="0"/>
                <w:position w:val="0"/>
                <w:sz w:val="22"/>
                <w:shd w:fill="auto" w:val="clear"/>
              </w:rPr>
              <w:t xml:space="preserve">ecturer: Prof. Moawia Alghalith </w:t>
            </w:r>
          </w:p>
          <w:p>
            <w:pPr>
              <w:spacing w:before="0" w:after="0" w:line="240"/>
              <w:ind w:right="458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Email address: </w:t>
            </w: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moawia.alghalith@sta.uwi.edu</w:t>
              </w:r>
            </w:hyperlink>
          </w:p>
          <w:p>
            <w:pPr>
              <w:spacing w:before="2" w:after="0" w:line="240"/>
              <w:ind w:right="3923" w:left="20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Office Hours: Room 210 - TBA (check outside office) Preferred method of Contact: Office hours and email.</w:t>
            </w:r>
          </w:p>
        </w:tc>
      </w:tr>
      <w:tr>
        <w:trPr>
          <w:trHeight w:val="226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40"/>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LETTER TO THE STUDENT</w:t>
            </w:r>
          </w:p>
          <w:p>
            <w:pPr>
              <w:spacing w:before="9" w:after="0" w:line="240"/>
              <w:ind w:right="0" w:left="0" w:firstLine="0"/>
              <w:jc w:val="left"/>
              <w:rPr>
                <w:rFonts w:ascii="Times New Roman" w:hAnsi="Times New Roman" w:cs="Times New Roman" w:eastAsia="Times New Roman"/>
                <w:color w:val="000000"/>
                <w:spacing w:val="0"/>
                <w:position w:val="0"/>
                <w:sz w:val="21"/>
                <w:shd w:fill="auto" w:val="clear"/>
              </w:rPr>
            </w:pPr>
          </w:p>
          <w:p>
            <w:pPr>
              <w:spacing w:before="0" w:after="0" w:line="240"/>
              <w:ind w:right="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Dear Student</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200" w:left="200" w:firstLine="0"/>
              <w:jc w:val="both"/>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This is a very useful course with many important practical applications. The course is comparable to the courses offered at the best universities in USA and UK. The teaching approach is very interactive. The student’s participation and questions are highly encouraged. Welcome to Macroeconomic Theory. I look forward to your participation and questions.</w:t>
            </w:r>
          </w:p>
        </w:tc>
      </w:tr>
      <w:tr>
        <w:trPr>
          <w:trHeight w:val="522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40"/>
              <w:ind w:right="6653"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COURSE CONTENT</w:t>
            </w:r>
            <w:r>
              <w:rPr>
                <w:rFonts w:ascii="Times New Roman" w:hAnsi="Times New Roman" w:cs="Times New Roman" w:eastAsia="Times New Roman"/>
                <w:b/>
                <w:color w:val="000000"/>
                <w:spacing w:val="0"/>
                <w:position w:val="0"/>
                <w:sz w:val="22"/>
                <w:shd w:fill="auto" w:val="clear"/>
              </w:rPr>
              <w:t xml:space="preserve"> SEMESTER 1</w:t>
            </w:r>
          </w:p>
          <w:p>
            <w:pPr>
              <w:spacing w:before="8" w:after="0" w:line="240"/>
              <w:ind w:right="0" w:left="0" w:firstLine="0"/>
              <w:jc w:val="left"/>
              <w:rPr>
                <w:rFonts w:ascii="Times New Roman" w:hAnsi="Times New Roman" w:cs="Times New Roman" w:eastAsia="Times New Roman"/>
                <w:color w:val="000000"/>
                <w:spacing w:val="0"/>
                <w:position w:val="0"/>
                <w:sz w:val="21"/>
                <w:shd w:fill="auto" w:val="clear"/>
              </w:rPr>
            </w:pPr>
          </w:p>
          <w:p>
            <w:pPr>
              <w:numPr>
                <w:ilvl w:val="0"/>
                <w:numId w:val="48"/>
              </w:numPr>
              <w:tabs>
                <w:tab w:val="left" w:pos="909" w:leader="none"/>
                <w:tab w:val="left" w:pos="910" w:leader="none"/>
              </w:tabs>
              <w:spacing w:before="1" w:after="0" w:line="269"/>
              <w:ind w:right="0"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Mathematical and statistical review.</w:t>
            </w:r>
          </w:p>
          <w:p>
            <w:pPr>
              <w:numPr>
                <w:ilvl w:val="0"/>
                <w:numId w:val="48"/>
              </w:numPr>
              <w:tabs>
                <w:tab w:val="left" w:pos="909" w:leader="none"/>
                <w:tab w:val="left" w:pos="910" w:leader="none"/>
              </w:tabs>
              <w:spacing w:before="0" w:after="0" w:line="269"/>
              <w:ind w:right="0"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Log-linearizing methods with examples.</w:t>
            </w:r>
          </w:p>
          <w:p>
            <w:pPr>
              <w:numPr>
                <w:ilvl w:val="0"/>
                <w:numId w:val="48"/>
              </w:numPr>
              <w:tabs>
                <w:tab w:val="left" w:pos="909" w:leader="none"/>
                <w:tab w:val="left" w:pos="910" w:leader="none"/>
              </w:tabs>
              <w:spacing w:before="0" w:after="0" w:line="269"/>
              <w:ind w:right="0"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Dynamic optimization methods</w:t>
            </w:r>
          </w:p>
          <w:p>
            <w:pPr>
              <w:numPr>
                <w:ilvl w:val="0"/>
                <w:numId w:val="48"/>
              </w:numPr>
              <w:tabs>
                <w:tab w:val="left" w:pos="909" w:leader="none"/>
                <w:tab w:val="left" w:pos="910" w:leader="none"/>
              </w:tabs>
              <w:spacing w:before="0" w:after="0" w:line="269"/>
              <w:ind w:right="0"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Endogenous economic growth</w:t>
            </w:r>
          </w:p>
          <w:p>
            <w:pPr>
              <w:numPr>
                <w:ilvl w:val="0"/>
                <w:numId w:val="48"/>
              </w:numPr>
              <w:tabs>
                <w:tab w:val="left" w:pos="909" w:leader="none"/>
                <w:tab w:val="left" w:pos="910" w:leader="none"/>
              </w:tabs>
              <w:spacing w:before="0" w:after="0" w:line="240"/>
              <w:ind w:right="198"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Consumption: the random-walk hypothesis, inter-temporal consumption, I-CAPM, C- CAPM.</w:t>
            </w:r>
          </w:p>
          <w:p>
            <w:pPr>
              <w:numPr>
                <w:ilvl w:val="0"/>
                <w:numId w:val="48"/>
              </w:numPr>
              <w:tabs>
                <w:tab w:val="left" w:pos="909" w:leader="none"/>
                <w:tab w:val="left" w:pos="910" w:leader="none"/>
              </w:tabs>
              <w:spacing w:before="1" w:after="0" w:line="269"/>
              <w:ind w:right="0" w:left="909"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Investment.</w:t>
            </w:r>
          </w:p>
          <w:p>
            <w:pPr>
              <w:numPr>
                <w:ilvl w:val="0"/>
                <w:numId w:val="48"/>
              </w:numPr>
              <w:tabs>
                <w:tab w:val="left" w:pos="921" w:leader="none"/>
              </w:tabs>
              <w:spacing w:before="0" w:after="0" w:line="269"/>
              <w:ind w:right="0" w:left="920" w:hanging="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Dynamic stochastic general equilibrium models</w:t>
            </w:r>
          </w:p>
          <w:p>
            <w:pPr>
              <w:spacing w:before="0" w:after="0" w:line="240"/>
              <w:ind w:right="0" w:left="0" w:firstLine="0"/>
              <w:jc w:val="left"/>
              <w:rPr>
                <w:rFonts w:ascii="Times New Roman" w:hAnsi="Times New Roman" w:cs="Times New Roman" w:eastAsia="Times New Roman"/>
                <w:color w:val="000000"/>
                <w:spacing w:val="0"/>
                <w:position w:val="0"/>
                <w:sz w:val="26"/>
                <w:shd w:fill="auto" w:val="clear"/>
              </w:rPr>
            </w:pPr>
          </w:p>
          <w:p>
            <w:pPr>
              <w:spacing w:before="208" w:after="0" w:line="240"/>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COURSE STRUCTURE </w:t>
            </w:r>
            <w:r>
              <w:rPr>
                <w:rFonts w:ascii="Times New Roman" w:hAnsi="Times New Roman" w:cs="Times New Roman" w:eastAsia="Times New Roman"/>
                <w:b/>
                <w:color w:val="000000"/>
                <w:spacing w:val="0"/>
                <w:position w:val="0"/>
                <w:sz w:val="22"/>
                <w:shd w:fill="auto" w:val="clear"/>
              </w:rPr>
              <w:t xml:space="preserve">–</w:t>
            </w:r>
            <w:r>
              <w:rPr>
                <w:rFonts w:ascii="Times New Roman" w:hAnsi="Times New Roman" w:cs="Times New Roman" w:eastAsia="Times New Roman"/>
                <w:b/>
                <w:color w:val="000000"/>
                <w:spacing w:val="0"/>
                <w:position w:val="0"/>
                <w:sz w:val="22"/>
                <w:shd w:fill="auto" w:val="clear"/>
              </w:rPr>
              <w:t xml:space="preserve"> SEMESTER 2</w:t>
            </w:r>
          </w:p>
          <w:p>
            <w:pPr>
              <w:spacing w:before="9" w:after="0" w:line="240"/>
              <w:ind w:right="0" w:left="0" w:firstLine="0"/>
              <w:jc w:val="left"/>
              <w:rPr>
                <w:rFonts w:ascii="Times New Roman" w:hAnsi="Times New Roman" w:cs="Times New Roman" w:eastAsia="Times New Roman"/>
                <w:color w:val="000000"/>
                <w:spacing w:val="0"/>
                <w:position w:val="0"/>
                <w:sz w:val="21"/>
                <w:shd w:fill="auto" w:val="clear"/>
              </w:rPr>
            </w:pPr>
          </w:p>
          <w:p>
            <w:pPr>
              <w:numPr>
                <w:ilvl w:val="0"/>
                <w:numId w:val="56"/>
              </w:numPr>
              <w:tabs>
                <w:tab w:val="left" w:pos="921" w:leader="none"/>
              </w:tabs>
              <w:spacing w:before="0" w:after="0" w:line="269"/>
              <w:ind w:right="0" w:left="920" w:hanging="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Real business cycles</w:t>
            </w:r>
          </w:p>
          <w:p>
            <w:pPr>
              <w:numPr>
                <w:ilvl w:val="0"/>
                <w:numId w:val="56"/>
              </w:numPr>
              <w:tabs>
                <w:tab w:val="left" w:pos="921" w:leader="none"/>
              </w:tabs>
              <w:spacing w:before="0" w:after="0" w:line="269"/>
              <w:ind w:right="0" w:left="920" w:hanging="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Inflation and monetary policy</w:t>
            </w:r>
          </w:p>
          <w:p>
            <w:pPr>
              <w:numPr>
                <w:ilvl w:val="0"/>
                <w:numId w:val="56"/>
              </w:numPr>
              <w:tabs>
                <w:tab w:val="left" w:pos="921" w:leader="none"/>
              </w:tabs>
              <w:spacing w:before="0" w:after="0" w:line="269"/>
              <w:ind w:right="0" w:left="920" w:hanging="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Unemployment</w:t>
            </w:r>
          </w:p>
          <w:p>
            <w:pPr>
              <w:numPr>
                <w:ilvl w:val="0"/>
                <w:numId w:val="56"/>
              </w:numPr>
              <w:tabs>
                <w:tab w:val="left" w:pos="921" w:leader="none"/>
              </w:tabs>
              <w:spacing w:before="0" w:after="0" w:line="269"/>
              <w:ind w:right="0" w:left="920" w:hanging="18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Nominal and Real rigidity</w:t>
            </w:r>
          </w:p>
        </w:tc>
      </w:tr>
      <w:tr>
        <w:trPr>
          <w:trHeight w:val="2640" w:hRule="auto"/>
          <w:jc w:val="left"/>
        </w:trPr>
        <w:tc>
          <w:tcPr>
            <w:tcW w:w="893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COURSE GOALS/AIMS:</w:t>
            </w:r>
          </w:p>
          <w:p>
            <w:pPr>
              <w:spacing w:before="0" w:after="0" w:line="240"/>
              <w:ind w:right="120" w:left="20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The goal of the course is to provide adequate and cutting-edge knowledge of Macroconomics to the M.Sc., MPhil, and Ph.D. Economics students.</w:t>
            </w:r>
          </w:p>
          <w:p>
            <w:pPr>
              <w:spacing w:before="1"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Aims</w:t>
            </w:r>
          </w:p>
          <w:p>
            <w:pPr>
              <w:numPr>
                <w:ilvl w:val="0"/>
                <w:numId w:val="63"/>
              </w:numPr>
              <w:tabs>
                <w:tab w:val="left" w:pos="920" w:leader="none"/>
                <w:tab w:val="left" w:pos="921" w:leader="none"/>
              </w:tabs>
              <w:spacing w:before="0" w:after="0" w:line="240"/>
              <w:ind w:right="206" w:left="92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 provide students pursuing the M.Sc., MPhil or Ph.D. Economics degrees with the ability to conduct research in macroeconomics.</w:t>
            </w:r>
          </w:p>
          <w:p>
            <w:pPr>
              <w:numPr>
                <w:ilvl w:val="0"/>
                <w:numId w:val="63"/>
              </w:numPr>
              <w:tabs>
                <w:tab w:val="left" w:pos="920" w:leader="none"/>
                <w:tab w:val="left" w:pos="921" w:leader="none"/>
              </w:tabs>
              <w:spacing w:before="0" w:after="0" w:line="240"/>
              <w:ind w:right="205" w:left="92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 provide students analytical skills, in addition to a good command of major topics in macroeconomics.</w:t>
            </w:r>
          </w:p>
          <w:p>
            <w:pPr>
              <w:numPr>
                <w:ilvl w:val="0"/>
                <w:numId w:val="63"/>
              </w:numPr>
              <w:tabs>
                <w:tab w:val="left" w:pos="920" w:leader="none"/>
                <w:tab w:val="left" w:pos="921" w:leader="none"/>
              </w:tabs>
              <w:spacing w:before="0" w:after="0" w:line="240"/>
              <w:ind w:right="0" w:left="920"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 enable the students forecast important economic indicators.</w:t>
            </w:r>
          </w:p>
        </w:tc>
      </w:tr>
    </w:tbl>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78" w:after="0" w:line="252"/>
        <w:ind w:right="0" w:left="300" w:firstLine="0"/>
        <w:jc w:val="left"/>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b/>
          <w:color w:val="auto"/>
          <w:spacing w:val="0"/>
          <w:position w:val="0"/>
          <w:sz w:val="22"/>
          <w:u w:val="single"/>
          <w:shd w:fill="auto" w:val="clear"/>
        </w:rPr>
        <w:t xml:space="preserve">GENERAL OBJECTIVES</w:t>
      </w:r>
    </w:p>
    <w:p>
      <w:pPr>
        <w:numPr>
          <w:ilvl w:val="0"/>
          <w:numId w:val="70"/>
        </w:numPr>
        <w:tabs>
          <w:tab w:val="left" w:pos="1021" w:leader="none"/>
        </w:tabs>
        <w:spacing w:before="0" w:after="0" w:line="240"/>
        <w:ind w:right="313"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Refresh the postgraduate students’ memory on the link between macroeconomics and microeconomic theories.</w:t>
      </w:r>
    </w:p>
    <w:p>
      <w:pPr>
        <w:numPr>
          <w:ilvl w:val="0"/>
          <w:numId w:val="70"/>
        </w:numPr>
        <w:tabs>
          <w:tab w:val="left" w:pos="1021" w:leader="none"/>
        </w:tabs>
        <w:spacing w:before="0" w:after="0" w:line="240"/>
        <w:ind w:right="314"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Improve students’ economics knowledge bank, to enable them to draw from exposure to rigorous macroeconomics, in their analysis and writing</w:t>
      </w:r>
    </w:p>
    <w:p>
      <w:pPr>
        <w:numPr>
          <w:ilvl w:val="0"/>
          <w:numId w:val="70"/>
        </w:numPr>
        <w:tabs>
          <w:tab w:val="left" w:pos="1021" w:leader="none"/>
        </w:tabs>
        <w:spacing w:before="0" w:after="0" w:line="240"/>
        <w:ind w:right="0"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 deliver the course in a manner that is understandable by students</w:t>
      </w:r>
    </w:p>
    <w:p>
      <w:pPr>
        <w:numPr>
          <w:ilvl w:val="0"/>
          <w:numId w:val="70"/>
        </w:numPr>
        <w:tabs>
          <w:tab w:val="left" w:pos="1021" w:leader="none"/>
        </w:tabs>
        <w:spacing w:before="0" w:after="0" w:line="240"/>
        <w:ind w:right="305"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 prepare students for critical analysis of economic systems in preparation of their research papers, academic publications, workplace or doctoral and post-doc dissertations.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30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TOPIC OR UNIT OBJECTIVES/LEARNING OUTCOMES</w:t>
      </w:r>
    </w:p>
    <w:tbl>
      <w:tblPr>
        <w:tblInd w:w="401" w:type="dxa"/>
      </w:tblPr>
      <w:tblGrid>
        <w:gridCol w:w="1318"/>
        <w:gridCol w:w="3118"/>
        <w:gridCol w:w="3728"/>
      </w:tblGrid>
      <w:tr>
        <w:trPr>
          <w:trHeight w:val="500" w:hRule="auto"/>
          <w:jc w:val="left"/>
        </w:trPr>
        <w:tc>
          <w:tcPr>
            <w:tcW w:w="1318" w:type="dxa"/>
            <w:tcBorders>
              <w:top w:val="single" w:color="000000" w:sz="8"/>
              <w:left w:val="single" w:color="000000" w:sz="8"/>
              <w:bottom w:val="single" w:color="000000" w:sz="4"/>
              <w:right w:val="single" w:color="000000" w:sz="8"/>
            </w:tcBorders>
            <w:shd w:color="000000" w:fill="ffffff" w:val="clear"/>
            <w:tcMar>
              <w:left w:w="0" w:type="dxa"/>
              <w:right w:w="0" w:type="dxa"/>
            </w:tcMar>
            <w:vAlign w:val="top"/>
          </w:tcPr>
          <w:p>
            <w:pPr>
              <w:spacing w:before="11" w:after="0" w:line="240"/>
              <w:ind w:right="0" w:left="0" w:firstLine="0"/>
              <w:jc w:val="left"/>
              <w:rPr>
                <w:rFonts w:ascii="Times New Roman" w:hAnsi="Times New Roman" w:cs="Times New Roman" w:eastAsia="Times New Roman"/>
                <w:b/>
                <w:color w:val="000000"/>
                <w:spacing w:val="0"/>
                <w:position w:val="0"/>
                <w:sz w:val="21"/>
                <w:shd w:fill="auto" w:val="clear"/>
              </w:rPr>
            </w:pPr>
          </w:p>
          <w:p>
            <w:pPr>
              <w:spacing w:before="0" w:after="0" w:line="246"/>
              <w:ind w:right="0" w:left="107" w:firstLine="0"/>
              <w:jc w:val="left"/>
              <w:rPr>
                <w:spacing w:val="0"/>
                <w:position w:val="0"/>
                <w:shd w:fill="auto" w:val="clear"/>
              </w:rPr>
            </w:pPr>
            <w:r>
              <w:rPr>
                <w:rFonts w:ascii="Times New Roman" w:hAnsi="Times New Roman" w:cs="Times New Roman" w:eastAsia="Times New Roman"/>
                <w:b/>
                <w:color w:val="000000"/>
                <w:spacing w:val="0"/>
                <w:position w:val="0"/>
                <w:sz w:val="22"/>
                <w:shd w:fill="auto" w:val="clear"/>
              </w:rPr>
              <w:t xml:space="preserve">UNIT</w:t>
            </w:r>
          </w:p>
        </w:tc>
        <w:tc>
          <w:tcPr>
            <w:tcW w:w="3118" w:type="dxa"/>
            <w:tcBorders>
              <w:top w:val="single" w:color="000000" w:sz="8"/>
              <w:left w:val="single" w:color="000000" w:sz="8"/>
              <w:bottom w:val="single" w:color="000000" w:sz="4"/>
              <w:right w:val="single" w:color="000000" w:sz="4"/>
            </w:tcBorders>
            <w:shd w:color="000000" w:fill="ffffff" w:val="clear"/>
            <w:tcMar>
              <w:left w:w="0" w:type="dxa"/>
              <w:right w:w="0" w:type="dxa"/>
            </w:tcMar>
            <w:vAlign w:val="top"/>
          </w:tcPr>
          <w:p>
            <w:pPr>
              <w:spacing w:before="11" w:after="0" w:line="240"/>
              <w:ind w:right="0" w:left="0" w:firstLine="0"/>
              <w:jc w:val="left"/>
              <w:rPr>
                <w:rFonts w:ascii="Times New Roman" w:hAnsi="Times New Roman" w:cs="Times New Roman" w:eastAsia="Times New Roman"/>
                <w:b/>
                <w:color w:val="000000"/>
                <w:spacing w:val="0"/>
                <w:position w:val="0"/>
                <w:sz w:val="21"/>
                <w:shd w:fill="auto" w:val="clear"/>
              </w:rPr>
            </w:pPr>
          </w:p>
          <w:p>
            <w:pPr>
              <w:spacing w:before="0" w:after="0" w:line="246"/>
              <w:ind w:right="0" w:left="107" w:firstLine="0"/>
              <w:jc w:val="left"/>
              <w:rPr>
                <w:spacing w:val="0"/>
                <w:position w:val="0"/>
                <w:shd w:fill="auto" w:val="clear"/>
              </w:rPr>
            </w:pPr>
            <w:r>
              <w:rPr>
                <w:rFonts w:ascii="Times New Roman" w:hAnsi="Times New Roman" w:cs="Times New Roman" w:eastAsia="Times New Roman"/>
                <w:b/>
                <w:color w:val="000000"/>
                <w:spacing w:val="0"/>
                <w:position w:val="0"/>
                <w:sz w:val="22"/>
                <w:shd w:fill="auto" w:val="clear"/>
              </w:rPr>
              <w:t xml:space="preserve">SEMESTER 1</w:t>
            </w:r>
          </w:p>
        </w:tc>
        <w:tc>
          <w:tcPr>
            <w:tcW w:w="3728" w:type="dxa"/>
            <w:tcBorders>
              <w:top w:val="single" w:color="000000" w:sz="8"/>
              <w:left w:val="single" w:color="000000" w:sz="4"/>
              <w:bottom w:val="single" w:color="000000" w:sz="4"/>
              <w:right w:val="single" w:color="000000" w:sz="8"/>
            </w:tcBorders>
            <w:shd w:color="000000" w:fill="ffffff" w:val="clear"/>
            <w:tcMar>
              <w:left w:w="0" w:type="dxa"/>
              <w:right w:w="0" w:type="dxa"/>
            </w:tcMar>
            <w:vAlign w:val="top"/>
          </w:tcPr>
          <w:p>
            <w:pPr>
              <w:spacing w:before="0" w:after="0" w:line="252"/>
              <w:ind w:right="0" w:left="112"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LEARNING OBJECTIVE</w:t>
            </w:r>
          </w:p>
          <w:p>
            <w:pPr>
              <w:spacing w:before="0" w:after="0" w:line="245"/>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Students should be able to:</w:t>
            </w:r>
          </w:p>
        </w:tc>
      </w:tr>
      <w:tr>
        <w:trPr>
          <w:trHeight w:val="50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9"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0" w:after="0" w:line="246"/>
              <w:ind w:right="0" w:left="107"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1</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tabs>
                <w:tab w:val="left" w:pos="1587" w:leader="none"/>
                <w:tab w:val="left" w:pos="2177" w:leader="none"/>
              </w:tabs>
              <w:spacing w:before="0" w:after="0" w:line="240"/>
              <w:ind w:right="93"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Mathematical</w:t>
              <w:tab/>
              <w:t xml:space="preserve">and</w:t>
              <w:tab/>
              <w:t xml:space="preserve">statistical review</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88"/>
              </w:numPr>
              <w:tabs>
                <w:tab w:val="left" w:pos="832" w:leader="none"/>
                <w:tab w:val="left" w:pos="833" w:leader="none"/>
              </w:tabs>
              <w:spacing w:before="223" w:after="0" w:line="263"/>
              <w:ind w:right="0"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solve relevant math problems</w:t>
            </w:r>
          </w:p>
        </w:tc>
      </w:tr>
      <w:tr>
        <w:trPr>
          <w:trHeight w:val="50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9"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0" w:after="0" w:line="246"/>
              <w:ind w:right="0" w:left="107"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2</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Log-linearizing methods with examples.</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93"/>
              </w:numPr>
              <w:tabs>
                <w:tab w:val="left" w:pos="832" w:leader="none"/>
                <w:tab w:val="left" w:pos="833" w:leader="none"/>
              </w:tabs>
              <w:spacing w:before="223" w:after="0" w:line="263"/>
              <w:ind w:right="0"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log-linearize functions</w:t>
            </w:r>
          </w:p>
        </w:tc>
      </w:tr>
      <w:tr>
        <w:trPr>
          <w:trHeight w:val="26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2"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3</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2"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Dynamic optimization methods</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97"/>
              </w:numPr>
              <w:tabs>
                <w:tab w:val="left" w:pos="832" w:leader="none"/>
                <w:tab w:val="left" w:pos="833" w:leader="none"/>
              </w:tabs>
              <w:spacing w:before="0" w:after="0" w:line="248"/>
              <w:ind w:right="0"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solve optimization problems</w:t>
            </w:r>
          </w:p>
        </w:tc>
      </w:tr>
      <w:tr>
        <w:trPr>
          <w:trHeight w:val="52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2"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1"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4</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2"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1"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Endogenous economic growth</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04"/>
              </w:numPr>
              <w:tabs>
                <w:tab w:val="left" w:pos="832" w:leader="none"/>
                <w:tab w:val="left" w:pos="833" w:leader="none"/>
              </w:tabs>
              <w:spacing w:before="0" w:after="0" w:line="240"/>
              <w:ind w:right="88"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understand the determinants of growth</w:t>
            </w:r>
          </w:p>
        </w:tc>
      </w:tr>
      <w:tr>
        <w:trPr>
          <w:trHeight w:val="52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5</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Consumption</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10"/>
              </w:numPr>
              <w:tabs>
                <w:tab w:val="left" w:pos="832" w:leader="none"/>
                <w:tab w:val="left" w:pos="833" w:leader="none"/>
              </w:tabs>
              <w:spacing w:before="3" w:after="0" w:line="254"/>
              <w:ind w:right="91"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understand the importance and determinants of consumption</w:t>
            </w:r>
          </w:p>
        </w:tc>
      </w:tr>
      <w:tr>
        <w:trPr>
          <w:trHeight w:val="76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1"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1" w:after="0" w:line="246"/>
              <w:ind w:right="0" w:left="107"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6</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tabs>
                <w:tab w:val="left" w:pos="1202" w:leader="none"/>
                <w:tab w:val="left" w:pos="2359" w:leader="none"/>
              </w:tabs>
              <w:spacing w:before="0" w:after="0" w:line="240"/>
              <w:ind w:right="94"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Dynamic</w:t>
              <w:tab/>
              <w:t xml:space="preserve">stochastic</w:t>
              <w:tab/>
              <w:t xml:space="preserve">general equilibrium models</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18"/>
              </w:numPr>
              <w:tabs>
                <w:tab w:val="left" w:pos="832" w:leader="none"/>
                <w:tab w:val="left" w:pos="833" w:leader="none"/>
                <w:tab w:val="left" w:pos="2391" w:leader="none"/>
                <w:tab w:val="left" w:pos="3255" w:leader="none"/>
                <w:tab w:val="left" w:pos="3450" w:leader="none"/>
              </w:tabs>
              <w:spacing w:before="3" w:after="0" w:line="254"/>
              <w:ind w:right="89" w:left="832"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understand</w:t>
              <w:tab/>
              <w:t xml:space="preserve">the</w:t>
              <w:tab/>
              <w:t xml:space="preserve">new developments</w:t>
              <w:tab/>
              <w:tab/>
              <w:tab/>
              <w:t xml:space="preserve">in</w:t>
            </w:r>
          </w:p>
          <w:p>
            <w:pPr>
              <w:spacing w:before="0" w:after="0" w:line="244"/>
              <w:ind w:right="0" w:left="83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macroeconomics</w:t>
            </w:r>
          </w:p>
        </w:tc>
      </w:tr>
      <w:tr>
        <w:trPr>
          <w:trHeight w:val="74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10" w:after="0" w:line="240"/>
              <w:ind w:right="0" w:left="0" w:firstLine="0"/>
              <w:jc w:val="left"/>
              <w:rPr>
                <w:rFonts w:ascii="Times New Roman" w:hAnsi="Times New Roman" w:cs="Times New Roman" w:eastAsia="Times New Roman"/>
                <w:b/>
                <w:color w:val="000000"/>
                <w:spacing w:val="0"/>
                <w:position w:val="0"/>
                <w:sz w:val="18"/>
                <w:shd w:fill="auto" w:val="clear"/>
              </w:rPr>
            </w:pPr>
          </w:p>
          <w:p>
            <w:pPr>
              <w:spacing w:before="0" w:after="0" w:line="245"/>
              <w:ind w:right="0" w:left="107" w:firstLine="0"/>
              <w:jc w:val="left"/>
              <w:rPr>
                <w:spacing w:val="0"/>
                <w:position w:val="0"/>
                <w:shd w:fill="auto" w:val="clear"/>
              </w:rPr>
            </w:pPr>
            <w:r>
              <w:rPr>
                <w:rFonts w:ascii="Times New Roman" w:hAnsi="Times New Roman" w:cs="Times New Roman" w:eastAsia="Times New Roman"/>
                <w:b/>
                <w:color w:val="000000"/>
                <w:spacing w:val="0"/>
                <w:position w:val="0"/>
                <w:sz w:val="22"/>
                <w:shd w:fill="auto" w:val="clear"/>
              </w:rPr>
              <w:t xml:space="preserve">SEMESTER 2</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2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2"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1"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7</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2"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1"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Real business cycles</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32"/>
              </w:numPr>
              <w:tabs>
                <w:tab w:val="left" w:pos="832" w:leader="none"/>
                <w:tab w:val="left" w:pos="833" w:leader="none"/>
              </w:tabs>
              <w:spacing w:before="0" w:after="0" w:line="240"/>
              <w:ind w:right="89"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determine the impact of a shock to output</w:t>
            </w:r>
          </w:p>
        </w:tc>
      </w:tr>
      <w:tr>
        <w:trPr>
          <w:trHeight w:val="76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1"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1" w:after="0" w:line="246"/>
              <w:ind w:right="0" w:left="107"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8</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1"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1" w:after="0" w:line="246"/>
              <w:ind w:right="0" w:left="107"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Inflation and monetary policy</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41"/>
              </w:numPr>
              <w:tabs>
                <w:tab w:val="left" w:pos="833" w:leader="none"/>
              </w:tabs>
              <w:spacing w:before="3" w:after="0" w:line="254"/>
              <w:ind w:right="90" w:left="832" w:hanging="360"/>
              <w:jc w:val="both"/>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understand monetary policies, and the impact of inflation and seignorage</w:t>
            </w:r>
          </w:p>
        </w:tc>
      </w:tr>
      <w:tr>
        <w:trPr>
          <w:trHeight w:val="52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9</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Unemployment</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48"/>
              </w:numPr>
              <w:tabs>
                <w:tab w:val="left" w:pos="832" w:leader="none"/>
                <w:tab w:val="left" w:pos="833" w:leader="none"/>
                <w:tab w:val="left" w:pos="2018" w:leader="none"/>
                <w:tab w:val="left" w:pos="2508" w:leader="none"/>
                <w:tab w:val="left" w:pos="3304" w:leader="none"/>
              </w:tabs>
              <w:spacing w:before="3" w:after="0" w:line="254"/>
              <w:ind w:right="89"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understand</w:t>
              <w:tab/>
              <w:t xml:space="preserve">the</w:t>
              <w:tab/>
              <w:t xml:space="preserve">causes</w:t>
              <w:tab/>
              <w:t xml:space="preserve">and impact of unemployment</w:t>
            </w:r>
          </w:p>
        </w:tc>
      </w:tr>
      <w:tr>
        <w:trPr>
          <w:trHeight w:val="52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10</w:t>
            </w: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0" w:line="246"/>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Nominal and Real rigidity</w:t>
            </w: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numPr>
                <w:ilvl w:val="0"/>
                <w:numId w:val="154"/>
              </w:numPr>
              <w:tabs>
                <w:tab w:val="left" w:pos="832" w:leader="none"/>
                <w:tab w:val="left" w:pos="833" w:leader="none"/>
              </w:tabs>
              <w:spacing w:before="3" w:after="0" w:line="254"/>
              <w:ind w:right="90" w:left="832" w:hanging="36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distinguish between nominal rigidity and real rigidity</w:t>
            </w:r>
          </w:p>
        </w:tc>
      </w:tr>
      <w:tr>
        <w:trPr>
          <w:trHeight w:val="260" w:hRule="auto"/>
          <w:jc w:val="left"/>
        </w:trPr>
        <w:tc>
          <w:tcPr>
            <w:tcW w:w="1318" w:type="dxa"/>
            <w:tcBorders>
              <w:top w:val="single" w:color="000000" w:sz="4"/>
              <w:left w:val="single" w:color="000000" w:sz="8"/>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118"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728"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6" w:after="0" w:line="240"/>
        <w:ind w:right="0" w:left="0" w:firstLine="0"/>
        <w:jc w:val="left"/>
        <w:rPr>
          <w:rFonts w:ascii="Times New Roman" w:hAnsi="Times New Roman" w:cs="Times New Roman" w:eastAsia="Times New Roman"/>
          <w:color w:val="auto"/>
          <w:spacing w:val="0"/>
          <w:position w:val="0"/>
          <w:sz w:val="17"/>
          <w:shd w:fill="auto" w:val="clear"/>
        </w:rPr>
      </w:pPr>
    </w:p>
    <w:tbl>
      <w:tblPr>
        <w:tblInd w:w="100" w:type="dxa"/>
      </w:tblPr>
      <w:tblGrid>
        <w:gridCol w:w="8932"/>
      </w:tblGrid>
      <w:tr>
        <w:trPr>
          <w:trHeight w:val="3720" w:hRule="auto"/>
          <w:jc w:val="left"/>
        </w:trPr>
        <w:tc>
          <w:tcPr>
            <w:tcW w:w="893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COURSE ASSESSMENT</w:t>
            </w:r>
          </w:p>
          <w:p>
            <w:pPr>
              <w:spacing w:before="90" w:after="0" w:line="240"/>
              <w:ind w:right="116" w:left="3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Students will be assessed as part of the continuous evaluation of student performance. </w:t>
            </w:r>
          </w:p>
          <w:p>
            <w:pPr>
              <w:numPr>
                <w:ilvl w:val="0"/>
                <w:numId w:val="165"/>
              </w:numPr>
              <w:tabs>
                <w:tab w:val="left" w:pos="1039" w:leader="none"/>
                <w:tab w:val="left" w:pos="1040" w:leader="none"/>
              </w:tabs>
              <w:spacing w:before="0" w:after="0" w:line="240"/>
              <w:ind w:right="0" w:left="104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Mid-term exam </w:t>
            </w:r>
            <w:r>
              <w:rPr>
                <w:rFonts w:ascii="Arial" w:hAnsi="Arial" w:cs="Arial" w:eastAsia="Arial"/>
                <w:color w:val="auto"/>
                <w:spacing w:val="-4"/>
                <w:position w:val="0"/>
                <w:sz w:val="24"/>
                <w:shd w:fill="auto" w:val="clear"/>
              </w:rPr>
              <w:t xml:space="preserve"> </w:t>
            </w:r>
            <w:r>
              <w:rPr>
                <w:rFonts w:ascii="Arial" w:hAnsi="Arial" w:cs="Arial" w:eastAsia="Arial"/>
                <w:color w:val="auto"/>
                <w:spacing w:val="0"/>
                <w:position w:val="0"/>
                <w:sz w:val="24"/>
                <w:shd w:fill="auto" w:val="clear"/>
              </w:rPr>
              <w:t xml:space="preserve">40%</w:t>
            </w:r>
          </w:p>
          <w:p>
            <w:pPr>
              <w:spacing w:before="10" w:after="0" w:line="240"/>
              <w:ind w:right="0" w:left="0" w:firstLine="0"/>
              <w:jc w:val="left"/>
              <w:rPr>
                <w:rFonts w:ascii="Arial" w:hAnsi="Arial" w:cs="Arial" w:eastAsia="Arial"/>
                <w:color w:val="auto"/>
                <w:spacing w:val="0"/>
                <w:position w:val="0"/>
                <w:sz w:val="24"/>
                <w:shd w:fill="auto" w:val="clear"/>
              </w:rPr>
            </w:pPr>
          </w:p>
          <w:p>
            <w:pPr>
              <w:numPr>
                <w:ilvl w:val="0"/>
                <w:numId w:val="167"/>
              </w:numPr>
              <w:tabs>
                <w:tab w:val="left" w:pos="1039" w:leader="none"/>
                <w:tab w:val="left" w:pos="1040" w:leader="none"/>
              </w:tabs>
              <w:spacing w:before="0" w:after="0" w:line="293"/>
              <w:ind w:right="0" w:left="104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Final exam </w:t>
            </w:r>
            <w:r>
              <w:rPr>
                <w:rFonts w:ascii="Arial" w:hAnsi="Arial" w:cs="Arial" w:eastAsia="Arial"/>
                <w:color w:val="auto"/>
                <w:spacing w:val="-1"/>
                <w:position w:val="0"/>
                <w:sz w:val="24"/>
                <w:shd w:fill="auto" w:val="clear"/>
              </w:rPr>
              <w:t xml:space="preserve"> </w:t>
            </w:r>
            <w:r>
              <w:rPr>
                <w:rFonts w:ascii="Arial" w:hAnsi="Arial" w:cs="Arial" w:eastAsia="Arial"/>
                <w:color w:val="auto"/>
                <w:spacing w:val="0"/>
                <w:position w:val="0"/>
                <w:sz w:val="24"/>
                <w:shd w:fill="auto" w:val="clear"/>
              </w:rPr>
              <w:t xml:space="preserve">60%</w:t>
            </w:r>
          </w:p>
          <w:p>
            <w:pPr>
              <w:spacing w:before="0" w:after="0" w:line="240"/>
              <w:ind w:right="0" w:left="0" w:firstLine="0"/>
              <w:jc w:val="left"/>
              <w:rPr>
                <w:position w:val="0"/>
                <w:shd w:fill="auto" w:val="clear"/>
              </w:rPr>
            </w:pPr>
          </w:p>
        </w:tc>
      </w:tr>
      <w:tr>
        <w:trPr>
          <w:trHeight w:val="2020" w:hRule="auto"/>
          <w:jc w:val="left"/>
        </w:trPr>
        <w:tc>
          <w:tcPr>
            <w:tcW w:w="893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EVALUATION</w:t>
            </w:r>
          </w:p>
          <w:p>
            <w:pPr>
              <w:spacing w:before="0" w:after="0" w:line="240"/>
              <w:ind w:right="203" w:left="200" w:firstLine="0"/>
              <w:jc w:val="both"/>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Official Lecturer Evaluations are scheduled for the week 12 of the course; all students will be invited to participate in this exercise. Findings will be used to amend the course design and delivery.</w:t>
            </w:r>
          </w:p>
          <w:p>
            <w:pPr>
              <w:spacing w:before="2"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40"/>
              <w:ind w:right="207" w:left="200" w:firstLine="0"/>
              <w:jc w:val="both"/>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Informal feedback from the students, at the end of the class or during office hours, will be encouraged to monitor their understanding of the course and course material.</w:t>
            </w:r>
          </w:p>
        </w:tc>
      </w:tr>
      <w:tr>
        <w:trPr>
          <w:trHeight w:val="1260" w:hRule="auto"/>
          <w:jc w:val="left"/>
        </w:trPr>
        <w:tc>
          <w:tcPr>
            <w:tcW w:w="893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TEACHING STRATEGIES</w:t>
            </w:r>
          </w:p>
          <w:p>
            <w:pPr>
              <w:spacing w:before="0" w:after="0" w:line="240"/>
              <w:ind w:right="198" w:left="200" w:firstLine="0"/>
              <w:jc w:val="both"/>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Teaching and learning will be conducted through weekly lectures, assigned readings and discussion seminars. The students will be provided with challenging and thought-provoking assignments.</w:t>
            </w:r>
          </w:p>
        </w:tc>
      </w:tr>
      <w:tr>
        <w:trPr>
          <w:trHeight w:val="1140" w:hRule="auto"/>
          <w:jc w:val="left"/>
        </w:trPr>
        <w:tc>
          <w:tcPr>
            <w:tcW w:w="893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2" w:after="0" w:line="240"/>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u w:val="single"/>
                <w:shd w:fill="auto" w:val="clear"/>
              </w:rPr>
              <w:t xml:space="preserve">RESOURCES</w:t>
            </w:r>
          </w:p>
          <w:p>
            <w:pPr>
              <w:spacing w:before="0" w:after="0" w:line="240"/>
              <w:ind w:right="0" w:left="0" w:firstLine="0"/>
              <w:jc w:val="left"/>
              <w:rPr>
                <w:rFonts w:ascii="Times New Roman" w:hAnsi="Times New Roman" w:cs="Times New Roman" w:eastAsia="Times New Roman"/>
                <w:color w:val="000000"/>
                <w:spacing w:val="0"/>
                <w:position w:val="0"/>
                <w:sz w:val="22"/>
                <w:shd w:fill="auto" w:val="clear"/>
              </w:rPr>
            </w:pPr>
          </w:p>
          <w:p>
            <w:pPr>
              <w:spacing w:before="0" w:after="0" w:line="252"/>
              <w:ind w:right="0" w:left="20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Recommended Text</w:t>
            </w:r>
          </w:p>
          <w:p>
            <w:pPr>
              <w:tabs>
                <w:tab w:val="left" w:pos="920" w:leader="none"/>
                <w:tab w:val="left" w:pos="921" w:leader="none"/>
              </w:tabs>
              <w:spacing w:before="0" w:after="0" w:line="249"/>
              <w:ind w:right="0" w:left="56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Romer, David (2019). Advanced Macroeconomics, McGrow Hill.</w:t>
            </w:r>
          </w:p>
        </w:tc>
      </w:tr>
    </w:tbl>
    <w:p>
      <w:pPr>
        <w:spacing w:before="0" w:after="0" w:line="249"/>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9" w:after="0" w:line="240"/>
        <w:ind w:right="0" w:left="0" w:firstLine="0"/>
        <w:jc w:val="left"/>
        <w:rPr>
          <w:rFonts w:ascii="Times New Roman" w:hAnsi="Times New Roman" w:cs="Times New Roman" w:eastAsia="Times New Roman"/>
          <w:color w:val="auto"/>
          <w:spacing w:val="0"/>
          <w:position w:val="0"/>
          <w:sz w:val="10"/>
          <w:shd w:fill="auto" w:val="clear"/>
        </w:rPr>
      </w:pPr>
    </w:p>
    <w:p>
      <w:pPr>
        <w:spacing w:before="90" w:after="0" w:line="240"/>
        <w:ind w:right="0" w:left="30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COURSE CALENDAR</w:t>
      </w:r>
    </w:p>
    <w:p>
      <w:pPr>
        <w:spacing w:before="1" w:after="0" w:line="240"/>
        <w:ind w:right="0" w:left="0" w:firstLine="0"/>
        <w:jc w:val="left"/>
        <w:rPr>
          <w:rFonts w:ascii="Times New Roman" w:hAnsi="Times New Roman" w:cs="Times New Roman" w:eastAsia="Times New Roman"/>
          <w:b/>
          <w:color w:val="auto"/>
          <w:spacing w:val="0"/>
          <w:position w:val="0"/>
          <w:sz w:val="22"/>
          <w:shd w:fill="auto" w:val="clear"/>
        </w:rPr>
      </w:pPr>
    </w:p>
    <w:tbl>
      <w:tblPr>
        <w:tblInd w:w="401" w:type="dxa"/>
      </w:tblPr>
      <w:tblGrid>
        <w:gridCol w:w="6136"/>
        <w:gridCol w:w="1813"/>
      </w:tblGrid>
      <w:tr>
        <w:trPr>
          <w:trHeight w:val="320" w:hRule="auto"/>
          <w:jc w:val="left"/>
        </w:trPr>
        <w:tc>
          <w:tcPr>
            <w:tcW w:w="6136" w:type="dxa"/>
            <w:tcBorders>
              <w:top w:val="single" w:color="000000" w:sz="8"/>
              <w:left w:val="single" w:color="000000" w:sz="8"/>
              <w:bottom w:val="single" w:color="000000" w:sz="4"/>
              <w:right w:val="single" w:color="000000" w:sz="4"/>
            </w:tcBorders>
            <w:shd w:color="000000" w:fill="ffffff" w:val="clear"/>
            <w:tcMar>
              <w:left w:w="0" w:type="dxa"/>
              <w:right w:w="0" w:type="dxa"/>
            </w:tcMar>
            <w:vAlign w:val="top"/>
          </w:tcPr>
          <w:p>
            <w:pPr>
              <w:spacing w:before="80" w:after="0" w:line="240"/>
              <w:ind w:right="0" w:left="107"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SEMESTER 1</w:t>
            </w:r>
          </w:p>
        </w:tc>
        <w:tc>
          <w:tcPr>
            <w:tcW w:w="1813" w:type="dxa"/>
            <w:tcBorders>
              <w:top w:val="single" w:color="000000" w:sz="8"/>
              <w:left w:val="single" w:color="000000" w:sz="4"/>
              <w:bottom w:val="single" w:color="000000" w:sz="4"/>
              <w:right w:val="single" w:color="000000" w:sz="8"/>
            </w:tcBorders>
            <w:shd w:color="000000" w:fill="ffffff" w:val="clear"/>
            <w:tcMar>
              <w:left w:w="0" w:type="dxa"/>
              <w:right w:w="0" w:type="dxa"/>
            </w:tcMar>
            <w:vAlign w:val="top"/>
          </w:tcPr>
          <w:p>
            <w:pPr>
              <w:spacing w:before="80"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WEEK</w:t>
            </w:r>
          </w:p>
        </w:tc>
      </w:tr>
      <w:tr>
        <w:trPr>
          <w:trHeight w:val="50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0" w:after="0" w:line="254"/>
              <w:ind w:right="3721"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Welcome and Orientation UNIT 1</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9" w:after="0" w:line="240"/>
              <w:ind w:right="0" w:left="0" w:firstLine="0"/>
              <w:jc w:val="left"/>
              <w:rPr>
                <w:rFonts w:ascii="Times New Roman" w:hAnsi="Times New Roman" w:cs="Times New Roman" w:eastAsia="Times New Roman"/>
                <w:b/>
                <w:color w:val="000000"/>
                <w:spacing w:val="0"/>
                <w:position w:val="0"/>
                <w:sz w:val="21"/>
                <w:shd w:fill="auto" w:val="clear"/>
              </w:rPr>
            </w:pPr>
          </w:p>
          <w:p>
            <w:pPr>
              <w:spacing w:before="0" w:after="0" w:line="240"/>
              <w:ind w:right="0" w:left="112" w:firstLine="0"/>
              <w:jc w:val="lef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1</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2</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2,3</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3</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68"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4</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4</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5-7</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5</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8-10</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6</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11-12</w:t>
            </w:r>
          </w:p>
        </w:tc>
      </w:tr>
      <w:tr>
        <w:trPr>
          <w:trHeight w:val="32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79" w:after="0" w:line="240"/>
              <w:ind w:right="0" w:left="107"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Revision of Concepts</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79"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13</w:t>
            </w:r>
          </w:p>
        </w:tc>
      </w:tr>
      <w:tr>
        <w:trPr>
          <w:trHeight w:val="32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80" w:after="0" w:line="240"/>
              <w:ind w:right="0" w:left="107"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SEMESTER 2</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80"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WEEK</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7</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1-2</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1" w:after="0" w:line="240"/>
              <w:ind w:right="0" w:left="107"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Semester 1 Mid Terms</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1"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2</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8</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3-5</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9</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6-7</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10</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8-9</w:t>
            </w:r>
          </w:p>
        </w:tc>
      </w:tr>
      <w:tr>
        <w:trPr>
          <w:trHeight w:val="260" w:hRule="auto"/>
          <w:jc w:val="left"/>
        </w:trPr>
        <w:tc>
          <w:tcPr>
            <w:tcW w:w="6136" w:type="dxa"/>
            <w:tcBorders>
              <w:top w:val="single" w:color="000000" w:sz="4"/>
              <w:left w:val="single" w:color="000000" w:sz="8"/>
              <w:bottom w:val="single" w:color="000000" w:sz="4"/>
              <w:right w:val="single" w:color="000000" w:sz="4"/>
            </w:tcBorders>
            <w:shd w:color="000000" w:fill="ffffff" w:val="clear"/>
            <w:tcMar>
              <w:left w:w="0" w:type="dxa"/>
              <w:right w:w="0" w:type="dxa"/>
            </w:tcMar>
            <w:vAlign w:val="top"/>
          </w:tcPr>
          <w:p>
            <w:pPr>
              <w:spacing w:before="10" w:after="0" w:line="240"/>
              <w:ind w:right="0" w:left="107"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UNIT 11</w:t>
            </w:r>
          </w:p>
        </w:tc>
        <w:tc>
          <w:tcPr>
            <w:tcW w:w="1813" w:type="dxa"/>
            <w:tcBorders>
              <w:top w:val="single" w:color="000000" w:sz="4"/>
              <w:left w:val="single" w:color="000000" w:sz="4"/>
              <w:bottom w:val="single" w:color="000000" w:sz="4"/>
              <w:right w:val="single" w:color="000000" w:sz="8"/>
            </w:tcBorders>
            <w:shd w:color="000000" w:fill="ffffff" w:val="clear"/>
            <w:tcMar>
              <w:left w:w="0" w:type="dxa"/>
              <w:right w:w="0" w:type="dxa"/>
            </w:tcMar>
            <w:vAlign w:val="top"/>
          </w:tcPr>
          <w:p>
            <w:pPr>
              <w:spacing w:before="10" w:after="0" w:line="240"/>
              <w:ind w:right="0" w:left="112"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10-12</w:t>
            </w:r>
          </w:p>
        </w:tc>
      </w:tr>
      <w:tr>
        <w:trPr>
          <w:trHeight w:val="260" w:hRule="auto"/>
          <w:jc w:val="left"/>
        </w:trPr>
        <w:tc>
          <w:tcPr>
            <w:tcW w:w="61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11"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Revision of Concepts</w:t>
            </w:r>
          </w:p>
        </w:tc>
        <w:tc>
          <w:tcPr>
            <w:tcW w:w="181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11" w:after="0" w:line="240"/>
              <w:ind w:right="0" w:left="112"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13</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10" w:after="0" w:line="240"/>
        <w:ind w:right="0" w:left="0" w:firstLine="0"/>
        <w:jc w:val="left"/>
        <w:rPr>
          <w:rFonts w:ascii="Times New Roman" w:hAnsi="Times New Roman" w:cs="Times New Roman" w:eastAsia="Times New Roman"/>
          <w:b/>
          <w:color w:val="auto"/>
          <w:spacing w:val="0"/>
          <w:position w:val="0"/>
          <w:sz w:val="19"/>
          <w:shd w:fill="auto" w:val="clear"/>
        </w:rPr>
      </w:pPr>
    </w:p>
    <w:p>
      <w:pPr>
        <w:spacing w:before="0" w:after="0" w:line="252"/>
        <w:ind w:right="0" w:left="30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ADDITIONAL INFORMATION</w:t>
      </w:r>
    </w:p>
    <w:p>
      <w:pPr>
        <w:spacing w:before="0" w:after="0" w:line="240"/>
        <w:ind w:right="258" w:left="3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Please also take note in your guidelines regulations for Graduate Diplomas and Degrees (available online) of the following regulations: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3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D0D0D"/>
          <w:spacing w:val="0"/>
          <w:position w:val="0"/>
          <w:sz w:val="22"/>
          <w:u w:val="single"/>
          <w:shd w:fill="auto" w:val="clear"/>
        </w:rPr>
        <w:t xml:space="preserve">Section 2 - General Examination Regulation</w:t>
      </w:r>
    </w:p>
    <w:p>
      <w:pPr>
        <w:spacing w:before="3" w:after="0" w:line="240"/>
        <w:ind w:right="0" w:left="0" w:firstLine="0"/>
        <w:jc w:val="left"/>
        <w:rPr>
          <w:rFonts w:ascii="Times New Roman" w:hAnsi="Times New Roman" w:cs="Times New Roman" w:eastAsia="Times New Roman"/>
          <w:color w:val="auto"/>
          <w:spacing w:val="0"/>
          <w:position w:val="0"/>
          <w:sz w:val="14"/>
          <w:shd w:fill="auto" w:val="clear"/>
        </w:rPr>
      </w:pPr>
    </w:p>
    <w:p>
      <w:pPr>
        <w:numPr>
          <w:ilvl w:val="0"/>
          <w:numId w:val="252"/>
        </w:numPr>
        <w:tabs>
          <w:tab w:val="left" w:pos="1351" w:leader="none"/>
        </w:tabs>
        <w:spacing w:before="90" w:after="0" w:line="240"/>
        <w:ind w:right="306" w:left="102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i/>
          <w:color w:val="0D0D0D"/>
          <w:spacing w:val="0"/>
          <w:position w:val="0"/>
          <w:sz w:val="22"/>
          <w:shd w:fill="auto" w:val="clear"/>
        </w:rPr>
        <w:t xml:space="preserve">Any candidate who has been absent from the University for a prolonged period during the teaching of a particular course for any reason other than illness or whose attendance at prescribed lectures, classes, practical classes, tutorials, or clinical instructions has been unsatisfactory or who has failed to submit essays or other exercises set by his/her teachers, may be debarred by the Board for Graduate Studies and Research, on the recommendation of the relevant Head of Department, from taking any University examinations.</w:t>
      </w:r>
    </w:p>
    <w:p>
      <w:pPr>
        <w:spacing w:before="9" w:after="0" w:line="240"/>
        <w:ind w:right="0" w:left="0" w:firstLine="0"/>
        <w:jc w:val="left"/>
        <w:rPr>
          <w:rFonts w:ascii="Times New Roman" w:hAnsi="Times New Roman" w:cs="Times New Roman" w:eastAsia="Times New Roman"/>
          <w:i/>
          <w:color w:val="auto"/>
          <w:spacing w:val="0"/>
          <w:position w:val="0"/>
          <w:sz w:val="21"/>
          <w:shd w:fill="auto" w:val="clear"/>
        </w:rPr>
      </w:pPr>
    </w:p>
    <w:p>
      <w:pPr>
        <w:numPr>
          <w:ilvl w:val="0"/>
          <w:numId w:val="254"/>
        </w:numPr>
        <w:tabs>
          <w:tab w:val="left" w:pos="2106" w:leader="none"/>
        </w:tabs>
        <w:spacing w:before="0" w:after="0" w:line="240"/>
        <w:ind w:right="307" w:left="1740" w:firstLine="0"/>
        <w:jc w:val="both"/>
        <w:rPr>
          <w:rFonts w:ascii="Times New Roman" w:hAnsi="Times New Roman" w:cs="Times New Roman" w:eastAsia="Times New Roman"/>
          <w:i/>
          <w:color w:val="000000"/>
          <w:spacing w:val="0"/>
          <w:position w:val="0"/>
          <w:sz w:val="22"/>
          <w:shd w:fill="auto" w:val="clear"/>
        </w:rPr>
      </w:pPr>
      <w:r>
        <w:rPr>
          <w:rFonts w:ascii="Times New Roman" w:hAnsi="Times New Roman" w:cs="Times New Roman" w:eastAsia="Times New Roman"/>
          <w:i/>
          <w:color w:val="000000"/>
          <w:spacing w:val="0"/>
          <w:position w:val="0"/>
          <w:sz w:val="22"/>
          <w:shd w:fill="auto" w:val="clear"/>
        </w:rPr>
        <w:t xml:space="preserve">Cheating is any attempt to benefit oneself or another by deceit or fraud. Plagiarism is a form of cheating. Plagiarism is the unauthorized and unacknowledged use of another person’s intellectual efforts, ideas and creations under one’s own name howsoever recorded, including whether formally published or in manuscript or in typescript or other printed or electronically presented form. Plagiarism includes taking passages, ideas or structures from another work or author without attribution of such source(s), using the conventions for attributions or citing used in this University. Since any piece of work submitted by a student must be that student’s own work, all forms of cheating, including plagiarism, are forbidden.</w:t>
      </w:r>
    </w:p>
    <w:p>
      <w:pPr>
        <w:spacing w:before="10" w:after="0" w:line="240"/>
        <w:ind w:right="0" w:left="0" w:firstLine="0"/>
        <w:jc w:val="left"/>
        <w:rPr>
          <w:rFonts w:ascii="Times New Roman" w:hAnsi="Times New Roman" w:cs="Times New Roman" w:eastAsia="Times New Roman"/>
          <w:i/>
          <w:color w:val="auto"/>
          <w:spacing w:val="0"/>
          <w:position w:val="0"/>
          <w:sz w:val="21"/>
          <w:shd w:fill="auto" w:val="clear"/>
        </w:rPr>
      </w:pPr>
    </w:p>
    <w:p>
      <w:pPr>
        <w:numPr>
          <w:ilvl w:val="0"/>
          <w:numId w:val="256"/>
        </w:numPr>
        <w:tabs>
          <w:tab w:val="left" w:pos="2088" w:leader="none"/>
        </w:tabs>
        <w:spacing w:before="1" w:after="0" w:line="240"/>
        <w:ind w:right="0" w:left="2087" w:hanging="346"/>
        <w:jc w:val="both"/>
        <w:rPr>
          <w:rFonts w:ascii="Times New Roman" w:hAnsi="Times New Roman" w:cs="Times New Roman" w:eastAsia="Times New Roman"/>
          <w:i/>
          <w:color w:val="000000"/>
          <w:spacing w:val="0"/>
          <w:position w:val="0"/>
          <w:sz w:val="22"/>
          <w:shd w:fill="auto" w:val="clear"/>
        </w:rPr>
      </w:pPr>
      <w:r>
        <w:rPr>
          <w:rFonts w:ascii="Times New Roman" w:hAnsi="Times New Roman" w:cs="Times New Roman" w:eastAsia="Times New Roman"/>
          <w:i/>
          <w:color w:val="000000"/>
          <w:spacing w:val="0"/>
          <w:position w:val="0"/>
          <w:sz w:val="22"/>
          <w:shd w:fill="auto" w:val="clear"/>
        </w:rPr>
        <w:t xml:space="preserve">(a) If any candidate is suspected of plagiarism in a thesis, research paper,</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78" w:after="0" w:line="240"/>
        <w:ind w:right="306" w:left="1740" w:firstLine="0"/>
        <w:jc w:val="both"/>
        <w:rPr>
          <w:rFonts w:ascii="Times New Roman" w:hAnsi="Times New Roman" w:cs="Times New Roman" w:eastAsia="Times New Roman"/>
          <w:i/>
          <w:color w:val="000000"/>
          <w:spacing w:val="0"/>
          <w:position w:val="0"/>
          <w:sz w:val="22"/>
          <w:shd w:fill="auto" w:val="clear"/>
        </w:rPr>
      </w:pPr>
      <w:r>
        <w:rPr>
          <w:rFonts w:ascii="Times New Roman" w:hAnsi="Times New Roman" w:cs="Times New Roman" w:eastAsia="Times New Roman"/>
          <w:i/>
          <w:color w:val="000000"/>
          <w:spacing w:val="0"/>
          <w:position w:val="0"/>
          <w:sz w:val="22"/>
          <w:shd w:fill="auto" w:val="clear"/>
        </w:rPr>
        <w:t xml:space="preserve">project report or course-work assignment, the circumstances shall be reported in writing to the Campus Registrar. The Campus Registrar shall refer  the matter to the Board for Graduate Studies and Research. If the Chair so decides, the Board shall invite the candidate for an interview and shall conduct an investigation. If the candidate fails to attend the interview, and does not offer a satisfactory excuse, the Board may hear the case in the candidate’s absence. If the candidate is found guilty of plagiarism, the Board for Graduate Studies and Research shall fail the candidate and may, subject to the candidate’s right of appeal to Senate, exclude him or her from all further examinations of the University.</w:t>
      </w:r>
    </w:p>
    <w:p>
      <w:pPr>
        <w:spacing w:before="10" w:after="0" w:line="240"/>
        <w:ind w:right="0" w:left="0" w:firstLine="0"/>
        <w:jc w:val="left"/>
        <w:rPr>
          <w:rFonts w:ascii="Times New Roman" w:hAnsi="Times New Roman" w:cs="Times New Roman" w:eastAsia="Times New Roman"/>
          <w:i/>
          <w:color w:val="auto"/>
          <w:spacing w:val="0"/>
          <w:position w:val="0"/>
          <w:sz w:val="21"/>
          <w:shd w:fill="auto" w:val="clear"/>
        </w:rPr>
      </w:pPr>
    </w:p>
    <w:p>
      <w:pPr>
        <w:numPr>
          <w:ilvl w:val="0"/>
          <w:numId w:val="261"/>
        </w:numPr>
        <w:tabs>
          <w:tab w:val="left" w:pos="1021" w:leader="none"/>
        </w:tabs>
        <w:spacing w:before="0" w:after="0" w:line="240"/>
        <w:ind w:right="310"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It is our policy as your lecturers to ask you to turn your mobile phones to vibrate or silent modes during classes. It is unacceptable to use your phone in any manner during lectures or tutorials. This includes emails, text messages, blackberry messages, or any other sort of phone use.</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numPr>
          <w:ilvl w:val="0"/>
          <w:numId w:val="263"/>
        </w:numPr>
        <w:tabs>
          <w:tab w:val="left" w:pos="1021" w:leader="none"/>
        </w:tabs>
        <w:spacing w:before="0" w:after="0" w:line="240"/>
        <w:ind w:right="309" w:left="10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Please note that your presence in the classroom indicates your readiness to listen and learn. There should be no talking about non-class related matters while in the classroom, no passing of notes, or any other distracting activity. Remember that the point of attending a lecture and tutorial is to learn and you should be courteous to the students around you and not engage in any activity that will hinder their learning.</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num w:numId="48">
    <w:abstractNumId w:val="120"/>
  </w:num>
  <w:num w:numId="56">
    <w:abstractNumId w:val="114"/>
  </w:num>
  <w:num w:numId="63">
    <w:abstractNumId w:val="108"/>
  </w:num>
  <w:num w:numId="70">
    <w:abstractNumId w:val="102"/>
  </w:num>
  <w:num w:numId="88">
    <w:abstractNumId w:val="96"/>
  </w:num>
  <w:num w:numId="93">
    <w:abstractNumId w:val="90"/>
  </w:num>
  <w:num w:numId="97">
    <w:abstractNumId w:val="84"/>
  </w:num>
  <w:num w:numId="104">
    <w:abstractNumId w:val="78"/>
  </w:num>
  <w:num w:numId="110">
    <w:abstractNumId w:val="72"/>
  </w:num>
  <w:num w:numId="118">
    <w:abstractNumId w:val="66"/>
  </w:num>
  <w:num w:numId="132">
    <w:abstractNumId w:val="60"/>
  </w:num>
  <w:num w:numId="141">
    <w:abstractNumId w:val="54"/>
  </w:num>
  <w:num w:numId="148">
    <w:abstractNumId w:val="48"/>
  </w:num>
  <w:num w:numId="154">
    <w:abstractNumId w:val="42"/>
  </w:num>
  <w:num w:numId="165">
    <w:abstractNumId w:val="36"/>
  </w:num>
  <w:num w:numId="167">
    <w:abstractNumId w:val="30"/>
  </w:num>
  <w:num w:numId="252">
    <w:abstractNumId w:val="24"/>
  </w:num>
  <w:num w:numId="254">
    <w:abstractNumId w:val="18"/>
  </w:num>
  <w:num w:numId="256">
    <w:abstractNumId w:val="12"/>
  </w:num>
  <w:num w:numId="261">
    <w:abstractNumId w:val="6"/>
  </w:num>
  <w:num w:numId="26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moawia.alghalith@sta.uwi.edu"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