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80"/>
      </w:tblGrid>
      <w:tr>
        <w:tblPrEx>
          <w:shd w:val="clear" w:color="auto" w:fill="d0ddef"/>
        </w:tblPrEx>
        <w:trPr>
          <w:trHeight w:val="3352" w:hRule="atLeast"/>
        </w:trPr>
        <w:tc>
          <w:tcPr>
            <w:tcW w:type="dxa" w:w="10080"/>
            <w:tcBorders>
              <w:top w:val="nil"/>
              <w:left w:val="nil"/>
              <w:bottom w:val="nil"/>
              <w:right w:val="nil"/>
            </w:tcBorders>
            <w:shd w:val="clear" w:color="auto" w:fill="auto"/>
            <w:tcMar>
              <w:top w:type="dxa" w:w="80"/>
              <w:left w:type="dxa" w:w="80"/>
              <w:bottom w:type="dxa" w:w="80"/>
              <w:right w:type="dxa" w:w="80"/>
            </w:tcMar>
            <w:vAlign w:val="center"/>
          </w:tcPr>
          <w:p>
            <w:pPr>
              <w:pStyle w:val="Normal (Web)"/>
              <w:spacing w:before="0" w:after="0" w:line="252" w:lineRule="auto"/>
              <w:jc w:val="center"/>
              <w:rPr>
                <w:rFonts w:ascii="Calibri" w:cs="Calibri" w:hAnsi="Calibri" w:eastAsia="Calibri"/>
                <w:b w:val="0"/>
                <w:bCs w:val="0"/>
                <w:outline w:val="0"/>
                <w:color w:val="000000"/>
                <w:sz w:val="22"/>
                <w:szCs w:val="22"/>
                <w:u w:color="000000"/>
                <w:shd w:val="nil" w:color="auto" w:fill="auto"/>
                <w14:textFill>
                  <w14:solidFill>
                    <w14:srgbClr w14:val="000000"/>
                  </w14:solidFill>
                </w14:textFill>
              </w:rPr>
            </w:pPr>
            <w:r>
              <w:rPr>
                <w:rFonts w:ascii="Calibri" w:cs="Calibri" w:hAnsi="Calibri" w:eastAsia="Calibri"/>
                <w:b w:val="0"/>
                <w:bCs w:val="0"/>
                <w:outline w:val="0"/>
                <w:color w:val="000000"/>
                <w:sz w:val="22"/>
                <w:szCs w:val="22"/>
                <w:u w:color="000000"/>
                <w:shd w:val="nil" w:color="auto" w:fill="auto"/>
                <w14:textFill>
                  <w14:solidFill>
                    <w14:srgbClr w14:val="000000"/>
                  </w14:solidFill>
                </w14:textFill>
              </w:rPr>
              <w:drawing xmlns:a="http://schemas.openxmlformats.org/drawingml/2006/main">
                <wp:inline distT="0" distB="0" distL="0" distR="0">
                  <wp:extent cx="4493253" cy="1942826"/>
                  <wp:effectExtent l="0" t="0" r="0" b="0"/>
                  <wp:docPr id="1073741825" name="officeArt object" descr="A picture containing sitting, person, food, motorcy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itting, person, food, motorcycleDescription automatically generated" descr="A picture containing sitting, person, food, motorcycleDescription automatically generated"/>
                          <pic:cNvPicPr>
                            <a:picLocks noChangeAspect="1"/>
                          </pic:cNvPicPr>
                        </pic:nvPicPr>
                        <pic:blipFill>
                          <a:blip r:embed="rId4">
                            <a:extLst/>
                          </a:blip>
                          <a:srcRect l="0" t="5015" r="0" b="8417"/>
                          <a:stretch>
                            <a:fillRect/>
                          </a:stretch>
                        </pic:blipFill>
                        <pic:spPr>
                          <a:xfrm>
                            <a:off x="0" y="0"/>
                            <a:ext cx="4493253" cy="1942826"/>
                          </a:xfrm>
                          <a:prstGeom prst="rect">
                            <a:avLst/>
                          </a:prstGeom>
                          <a:ln w="12700" cap="flat">
                            <a:noFill/>
                            <a:miter lim="400000"/>
                          </a:ln>
                          <a:effectLst/>
                        </pic:spPr>
                      </pic:pic>
                    </a:graphicData>
                  </a:graphic>
                </wp:inline>
              </w:drawing>
            </w:r>
          </w:p>
          <w:p>
            <w:pPr>
              <w:pStyle w:val="Normal (Web)"/>
              <w:spacing w:before="0" w:after="0" w:line="252" w:lineRule="auto"/>
              <w:jc w:val="center"/>
            </w:pPr>
            <w:r>
              <w:rPr>
                <w:rFonts w:ascii="Trajan Pro" w:hAnsi="Trajan Pro"/>
                <w:b w:val="0"/>
                <w:bCs w:val="0"/>
                <w:outline w:val="0"/>
                <w:color w:val="000000"/>
                <w:sz w:val="20"/>
                <w:szCs w:val="20"/>
                <w:u w:color="000000"/>
                <w:rtl w:val="0"/>
                <w:lang w:val="en-US"/>
                <w14:textFill>
                  <w14:solidFill>
                    <w14:srgbClr w14:val="000000"/>
                  </w14:solidFill>
                </w14:textFill>
              </w:rPr>
              <w:t xml:space="preserve">Institute for Gender and Development Studies, St Augustine Unit </w:t>
            </w:r>
          </w:p>
        </w:tc>
      </w:tr>
      <w:tr>
        <w:tblPrEx>
          <w:shd w:val="clear" w:color="auto" w:fill="d0ddef"/>
        </w:tblPrEx>
        <w:trPr>
          <w:trHeight w:val="640" w:hRule="atLeast"/>
        </w:trPr>
        <w:tc>
          <w:tcPr>
            <w:tcW w:type="dxa" w:w="10080"/>
            <w:tcBorders>
              <w:top w:val="nil"/>
              <w:left w:val="nil"/>
              <w:bottom w:val="nil"/>
              <w:right w:val="nil"/>
            </w:tcBorders>
            <w:shd w:val="clear" w:color="auto" w:fill="300f33"/>
            <w:tcMar>
              <w:top w:type="dxa" w:w="80"/>
              <w:left w:type="dxa" w:w="80"/>
              <w:bottom w:type="dxa" w:w="80"/>
              <w:right w:type="dxa" w:w="80"/>
            </w:tcMar>
            <w:vAlign w:val="center"/>
          </w:tcPr>
          <w:p>
            <w:pPr>
              <w:pStyle w:val="Normal (Web)"/>
              <w:spacing w:before="0" w:after="0" w:line="252" w:lineRule="auto"/>
              <w:jc w:val="center"/>
            </w:pPr>
            <w:r>
              <w:rPr>
                <w:rFonts w:ascii="Cambria" w:hAnsi="Cambria"/>
                <w:b w:val="1"/>
                <w:bCs w:val="1"/>
                <w:outline w:val="0"/>
                <w:color w:val="300f33"/>
                <w:sz w:val="54"/>
                <w:szCs w:val="54"/>
                <w:u w:color="ffffff"/>
                <w:rtl w:val="0"/>
                <w:lang w:val="en-US"/>
                <w14:textFill>
                  <w14:solidFill>
                    <w14:srgbClr w14:val="301033"/>
                  </w14:solidFill>
                </w14:textFill>
              </w:rPr>
              <w:t>STATEMENT</w:t>
            </w:r>
          </w:p>
        </w:tc>
      </w:tr>
    </w:tbl>
    <w:p>
      <w:pPr>
        <w:pStyle w:val="Body"/>
        <w:widowControl w:val="0"/>
        <w:spacing w:line="240" w:lineRule="auto"/>
        <w:rPr>
          <w:rFonts w:ascii="Cambria" w:cs="Cambria" w:hAnsi="Cambria" w:eastAsia="Cambria"/>
          <w:sz w:val="20"/>
          <w:szCs w:val="20"/>
        </w:rPr>
      </w:pPr>
    </w:p>
    <w:p>
      <w:pPr>
        <w:pStyle w:val="p1"/>
        <w:spacing w:after="60" w:line="360" w:lineRule="auto"/>
        <w:jc w:val="righ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For Immediate Release</w:t>
      </w:r>
    </w:p>
    <w:p>
      <w:pPr>
        <w:pStyle w:val="x_x_x_x_msonormal"/>
        <w:shd w:val="clear" w:color="auto" w:fill="ffffff"/>
        <w:spacing w:before="0" w:after="0" w:line="312" w:lineRule="auto"/>
        <w:jc w:val="center"/>
        <w:rPr>
          <w:sz w:val="20"/>
          <w:szCs w:val="20"/>
          <w:lang w:val="en-US"/>
        </w:rPr>
      </w:pPr>
    </w:p>
    <w:p>
      <w:pPr>
        <w:pStyle w:val="No Spacing"/>
        <w:spacing w:line="312" w:lineRule="auto"/>
        <w:jc w:val="center"/>
        <w:rPr>
          <w:rFonts w:ascii="Times New Roman" w:cs="Times New Roman" w:hAnsi="Times New Roman" w:eastAsia="Times New Roman"/>
          <w:b w:val="1"/>
          <w:bCs w:val="1"/>
          <w:outline w:val="0"/>
          <w:color w:val="300f33"/>
          <w:sz w:val="28"/>
          <w:szCs w:val="28"/>
          <w:lang w:val="en-US"/>
          <w14:textFill>
            <w14:solidFill>
              <w14:srgbClr w14:val="301033"/>
            </w14:solidFill>
          </w14:textFill>
        </w:rPr>
      </w:pPr>
      <w:r>
        <w:rPr>
          <w:rFonts w:ascii="Times New Roman" w:hAnsi="Times New Roman"/>
          <w:b w:val="1"/>
          <w:bCs w:val="1"/>
          <w:outline w:val="0"/>
          <w:color w:val="300f33"/>
          <w:sz w:val="28"/>
          <w:szCs w:val="28"/>
          <w:rtl w:val="0"/>
          <w:lang w:val="en-US"/>
          <w14:textFill>
            <w14:solidFill>
              <w14:srgbClr w14:val="301033"/>
            </w14:solidFill>
          </w14:textFill>
        </w:rPr>
        <w:t>The Break the Silence Campaign - Statement</w:t>
      </w:r>
    </w:p>
    <w:p>
      <w:pPr>
        <w:pStyle w:val="No Spacing"/>
        <w:spacing w:line="312" w:lineRule="auto"/>
        <w:jc w:val="center"/>
        <w:rPr>
          <w:rFonts w:ascii="Times New Roman" w:cs="Times New Roman" w:hAnsi="Times New Roman" w:eastAsia="Times New Roman"/>
          <w:b w:val="0"/>
          <w:bCs w:val="0"/>
          <w:outline w:val="0"/>
          <w:color w:val="300f33"/>
          <w:sz w:val="28"/>
          <w:szCs w:val="28"/>
          <w:lang w:val="en-US"/>
          <w14:textFill>
            <w14:solidFill>
              <w14:srgbClr w14:val="301033"/>
            </w14:solidFill>
          </w14:textFill>
        </w:rPr>
      </w:pPr>
      <w:r>
        <w:rPr>
          <w:rFonts w:ascii="Times New Roman" w:hAnsi="Times New Roman"/>
          <w:b w:val="1"/>
          <w:bCs w:val="1"/>
          <w:outline w:val="0"/>
          <w:color w:val="300f33"/>
          <w:sz w:val="28"/>
          <w:szCs w:val="28"/>
          <w:rtl w:val="0"/>
          <w:lang w:val="en-US"/>
          <w14:textFill>
            <w14:solidFill>
              <w14:srgbClr w14:val="301033"/>
            </w14:solidFill>
          </w14:textFill>
        </w:rPr>
        <w:t>Rape of School Girls by Teacher and Security Guard</w:t>
      </w:r>
    </w:p>
    <w:p>
      <w:pPr>
        <w:pStyle w:val="Default"/>
        <w:bidi w:val="0"/>
        <w:spacing w:before="0" w:after="60" w:line="360" w:lineRule="auto"/>
        <w:ind w:left="0" w:right="0" w:firstLine="0"/>
        <w:jc w:val="both"/>
        <w:rPr>
          <w:rFonts w:ascii="Times New Roman" w:cs="Times New Roman" w:hAnsi="Times New Roman" w:eastAsia="Times New Roman"/>
          <w:rtl w:val="0"/>
        </w:rPr>
      </w:pPr>
    </w:p>
    <w:p>
      <w:pPr>
        <w:pStyle w:val="Default"/>
        <w:bidi w:val="0"/>
        <w:spacing w:before="0" w:after="60" w:line="360" w:lineRule="auto"/>
        <w:ind w:left="0" w:right="720" w:firstLine="0"/>
        <w:jc w:val="left"/>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s-ES_tradnl"/>
        </w:rPr>
        <w:t xml:space="preserve">ST. AUGUSTINE, Trinidad and Tobago. </w:t>
      </w:r>
      <w:r>
        <w:rPr>
          <w:rFonts w:ascii="Times New Roman" w:hAnsi="Times New Roman"/>
          <w:b w:val="1"/>
          <w:bCs w:val="1"/>
          <w:sz w:val="22"/>
          <w:szCs w:val="22"/>
          <w:rtl w:val="0"/>
          <w:lang w:val="en-US"/>
        </w:rPr>
        <w:t>Wednesday 23 December, 2022</w:t>
      </w:r>
    </w:p>
    <w:p>
      <w:pPr>
        <w:pStyle w:val="Body"/>
        <w:spacing w:after="240" w:line="360" w:lineRule="auto"/>
        <w:jc w:val="both"/>
        <w:rPr>
          <w:rFonts w:ascii="Times New Roman" w:cs="Times New Roman" w:hAnsi="Times New Roman" w:eastAsia="Times New Roman"/>
        </w:rPr>
      </w:pPr>
      <w:r>
        <w:rPr>
          <w:rFonts w:ascii="Times New Roman" w:hAnsi="Times New Roman"/>
          <w:rtl w:val="0"/>
          <w:lang w:val="en-US"/>
        </w:rPr>
        <w:t>The BTS campaign is appalled at this heinous incident</w:t>
      </w:r>
      <w:r>
        <w:rPr>
          <w:rFonts w:ascii="Times New Roman" w:hAnsi="Times New Roman"/>
          <w:rtl w:val="0"/>
          <w:lang w:val="en-US"/>
        </w:rPr>
        <w:t>. We continue</w:t>
      </w:r>
      <w:r>
        <w:rPr>
          <w:rFonts w:ascii="Times New Roman" w:hAnsi="Times New Roman"/>
          <w:rtl w:val="0"/>
          <w:lang w:val="en-US"/>
        </w:rPr>
        <w:t xml:space="preserve"> our call for age-appropriate gender and sexuality training in schools and of sexual abuse awareness training for all teachers and school</w:t>
      </w:r>
      <w:r>
        <w:rPr>
          <w:rFonts w:ascii="Times New Roman" w:hAnsi="Times New Roman" w:hint="default"/>
          <w:rtl w:val="0"/>
          <w:lang w:val="en-US"/>
        </w:rPr>
        <w:t> </w:t>
      </w:r>
      <w:r>
        <w:rPr>
          <w:rFonts w:ascii="Times New Roman" w:hAnsi="Times New Roman"/>
          <w:rtl w:val="0"/>
          <w:lang w:val="fr-FR"/>
        </w:rPr>
        <w:t xml:space="preserve">personnel. </w:t>
      </w:r>
      <w:r>
        <w:rPr>
          <w:rFonts w:ascii="Times New Roman" w:hAnsi="Times New Roman"/>
          <w:rtl w:val="0"/>
          <w:lang w:val="en-US"/>
        </w:rPr>
        <w:t>Therefore, we support the Concerned Parents Movement's call for introducing</w:t>
      </w:r>
      <w:r>
        <w:rPr>
          <w:rFonts w:ascii="Times New Roman" w:hAnsi="Times New Roman"/>
          <w:rtl w:val="0"/>
          <w:lang w:val="en-US"/>
        </w:rPr>
        <w:t xml:space="preserve"> sex education into </w:t>
      </w:r>
      <w:r>
        <w:rPr>
          <w:rFonts w:ascii="Times New Roman" w:hAnsi="Times New Roman"/>
          <w:rtl w:val="0"/>
          <w:lang w:val="en-US"/>
        </w:rPr>
        <w:t xml:space="preserve">the </w:t>
      </w:r>
      <w:r>
        <w:rPr>
          <w:rFonts w:ascii="Times New Roman" w:hAnsi="Times New Roman"/>
          <w:rtl w:val="0"/>
        </w:rPr>
        <w:t xml:space="preserve">school curriculum in 2023.                                                                                                                                                                                                                                                                                                                                                                      </w:t>
      </w:r>
    </w:p>
    <w:p>
      <w:pPr>
        <w:pStyle w:val="Body"/>
        <w:spacing w:after="240" w:line="360" w:lineRule="auto"/>
        <w:jc w:val="both"/>
        <w:rPr>
          <w:rFonts w:ascii="Times New Roman" w:cs="Times New Roman" w:hAnsi="Times New Roman" w:eastAsia="Times New Roman"/>
        </w:rPr>
      </w:pPr>
      <w:r>
        <w:rPr>
          <w:rFonts w:ascii="Times New Roman" w:hAnsi="Times New Roman"/>
          <w:rtl w:val="0"/>
          <w:lang w:val="en-US"/>
        </w:rPr>
        <w:t>This was one of our most important recommendations coming out of our in-depth research study on Child Sexual Abuse in Trinidad and Tobago and it continues to be urgent. We noted that structured education of students about sex and sexuality is important to provide young people with an understanding of their bodies and sexualities and empower them to make informed decisions about their social and sexual lives.</w:t>
      </w:r>
      <w:r>
        <w:rPr>
          <w:rFonts w:ascii="Times New Roman" w:hAnsi="Times New Roman"/>
          <w:rtl w:val="0"/>
          <w:lang w:val="en-US"/>
        </w:rPr>
        <w:t xml:space="preserve"> </w:t>
      </w:r>
      <w:r>
        <w:rPr>
          <w:rFonts w:ascii="Times New Roman" w:hAnsi="Times New Roman"/>
          <w:rtl w:val="0"/>
          <w:lang w:val="en-US"/>
        </w:rPr>
        <w:t xml:space="preserve">They should be informed as to how to deal with sexual abuse and incest. Teachers also need </w:t>
      </w:r>
      <w:r>
        <w:rPr>
          <w:rFonts w:ascii="Times New Roman" w:hAnsi="Times New Roman"/>
          <w:rtl w:val="0"/>
          <w:lang w:val="en-US"/>
        </w:rPr>
        <w:t xml:space="preserve">to </w:t>
      </w:r>
      <w:r>
        <w:rPr>
          <w:rFonts w:ascii="Times New Roman" w:hAnsi="Times New Roman"/>
          <w:rtl w:val="0"/>
          <w:lang w:val="en-US"/>
        </w:rPr>
        <w:t>be educated. Many young persons obtain their sex education from similarly uninformed peers, predators and the mass media</w:t>
      </w:r>
      <w:r>
        <w:rPr>
          <w:rFonts w:ascii="Times New Roman" w:hAnsi="Times New Roman"/>
          <w:rtl w:val="0"/>
          <w:lang w:val="en-US"/>
        </w:rPr>
        <w:t>,</w:t>
      </w:r>
      <w:r>
        <w:rPr>
          <w:rFonts w:ascii="Times New Roman" w:hAnsi="Times New Roman"/>
          <w:rtl w:val="0"/>
          <w:lang w:val="en-US"/>
        </w:rPr>
        <w:t xml:space="preserve"> including television, cinema and social media. Teachers and principals</w:t>
      </w:r>
      <w:r>
        <w:rPr>
          <w:rFonts w:ascii="Times New Roman" w:hAnsi="Times New Roman"/>
          <w:rtl w:val="0"/>
          <w:lang w:val="en-US"/>
        </w:rPr>
        <w:t>,</w:t>
      </w:r>
      <w:r>
        <w:rPr>
          <w:rFonts w:ascii="Times New Roman" w:hAnsi="Times New Roman"/>
          <w:rtl w:val="0"/>
          <w:lang w:val="en-US"/>
        </w:rPr>
        <w:t xml:space="preserve"> we interviewed in Trinidad and Tobago</w:t>
      </w:r>
      <w:r>
        <w:rPr>
          <w:rFonts w:ascii="Times New Roman" w:hAnsi="Times New Roman"/>
          <w:rtl w:val="0"/>
          <w:lang w:val="en-US"/>
        </w:rPr>
        <w:t>,</w:t>
      </w:r>
      <w:r>
        <w:rPr>
          <w:rFonts w:ascii="Times New Roman" w:hAnsi="Times New Roman"/>
          <w:rtl w:val="0"/>
          <w:lang w:val="en-US"/>
        </w:rPr>
        <w:t xml:space="preserve"> however, acknowledge that despite the normality of early sexual activity among youth in schools and the prevalence of youth disclosing sexual abuse and incest in the school setting, there is no specific or standardized training available on how to conduct sexuality education for children and young people. Parents also asked for </w:t>
      </w:r>
      <w:r>
        <w:rPr>
          <w:rFonts w:ascii="Times New Roman" w:hAnsi="Times New Roman"/>
          <w:rtl w:val="0"/>
          <w:lang w:val="en-US"/>
        </w:rPr>
        <w:t>workshops</w:t>
      </w:r>
      <w:r>
        <w:rPr>
          <w:rFonts w:ascii="Times New Roman" w:hAnsi="Times New Roman"/>
          <w:rtl w:val="0"/>
          <w:lang w:val="en-US"/>
        </w:rPr>
        <w:t xml:space="preserve"> on how to speak to their children about sex so clearly</w:t>
      </w:r>
      <w:r>
        <w:rPr>
          <w:rFonts w:ascii="Times New Roman" w:hAnsi="Times New Roman"/>
          <w:rtl w:val="0"/>
          <w:lang w:val="en-US"/>
        </w:rPr>
        <w:t>,</w:t>
      </w:r>
      <w:r>
        <w:rPr>
          <w:rFonts w:ascii="Times New Roman" w:hAnsi="Times New Roman"/>
          <w:rtl w:val="0"/>
          <w:lang w:val="en-US"/>
        </w:rPr>
        <w:t xml:space="preserve"> parents themselves acknowledge their own difficulties in addressing this critical issue with their children.</w:t>
      </w:r>
    </w:p>
    <w:p>
      <w:pPr>
        <w:pStyle w:val="Body"/>
        <w:spacing w:after="240" w:line="360" w:lineRule="auto"/>
        <w:jc w:val="both"/>
        <w:rPr>
          <w:rFonts w:ascii="Times New Roman" w:cs="Times New Roman" w:hAnsi="Times New Roman" w:eastAsia="Times New Roman"/>
        </w:rPr>
      </w:pPr>
      <w:r>
        <w:rPr>
          <w:rFonts w:ascii="Times New Roman" w:hAnsi="Times New Roman"/>
          <w:rtl w:val="0"/>
          <w:lang w:val="en-US"/>
        </w:rPr>
        <w:t xml:space="preserve">Earlier research on university students found that no one spoke to boys and young men about sex, they reported learning from peers and </w:t>
      </w:r>
      <w:r>
        <w:rPr>
          <w:rFonts w:ascii="Times New Roman" w:hAnsi="Times New Roman" w:hint="default"/>
          <w:rtl w:val="0"/>
          <w:lang w:val="en-US"/>
        </w:rPr>
        <w:t>“</w:t>
      </w:r>
      <w:r>
        <w:rPr>
          <w:rFonts w:ascii="Times New Roman" w:hAnsi="Times New Roman"/>
          <w:rtl w:val="0"/>
          <w:lang w:val="en-US"/>
        </w:rPr>
        <w:t>Blue Movies</w:t>
      </w:r>
      <w:r>
        <w:rPr>
          <w:rFonts w:ascii="Times New Roman" w:hAnsi="Times New Roman" w:hint="default"/>
          <w:rtl w:val="0"/>
          <w:lang w:val="en-US"/>
        </w:rPr>
        <w:t xml:space="preserve">’ </w:t>
      </w:r>
      <w:r>
        <w:rPr>
          <w:rFonts w:ascii="Times New Roman" w:hAnsi="Times New Roman"/>
          <w:rtl w:val="0"/>
          <w:lang w:val="en-US"/>
        </w:rPr>
        <w:t>and girls perhaps upon menstruation</w:t>
      </w:r>
      <w:r>
        <w:rPr>
          <w:rFonts w:ascii="Times New Roman" w:hAnsi="Times New Roman"/>
          <w:rtl w:val="0"/>
          <w:lang w:val="en-US"/>
        </w:rPr>
        <w:t>,</w:t>
      </w:r>
      <w:r>
        <w:rPr>
          <w:rFonts w:ascii="Times New Roman" w:hAnsi="Times New Roman"/>
          <w:rtl w:val="0"/>
          <w:lang w:val="en-US"/>
        </w:rPr>
        <w:t xml:space="preserve"> but one young woman sa</w:t>
      </w:r>
      <w:r>
        <w:rPr>
          <w:rFonts w:ascii="Times New Roman" w:hAnsi="Times New Roman"/>
          <w:rtl w:val="0"/>
          <w:lang w:val="en-US"/>
        </w:rPr>
        <w:t>id</w:t>
      </w:r>
      <w:r>
        <w:rPr>
          <w:rFonts w:ascii="Times New Roman" w:hAnsi="Times New Roman"/>
          <w:rtl w:val="0"/>
          <w:lang w:val="en-US"/>
        </w:rPr>
        <w:t xml:space="preserve"> she was spoken to at age 18 (Roberts, Reddock Douglas and Reid, 2009)</w:t>
      </w:r>
      <w:r>
        <w:rPr>
          <w:rFonts w:ascii="Times New Roman" w:cs="Times New Roman" w:hAnsi="Times New Roman" w:eastAsia="Times New Roman"/>
          <w:vertAlign w:val="superscript"/>
        </w:rPr>
        <w:footnoteReference w:id="1"/>
      </w:r>
      <w:r>
        <w:rPr>
          <w:rFonts w:ascii="Times New Roman" w:hAnsi="Times New Roman"/>
          <w:rtl w:val="0"/>
        </w:rPr>
        <w:t>.</w:t>
      </w:r>
    </w:p>
    <w:p>
      <w:pPr>
        <w:pStyle w:val="Body"/>
        <w:spacing w:after="120" w:line="360" w:lineRule="auto"/>
        <w:jc w:val="both"/>
        <w:rPr>
          <w:rFonts w:ascii="Times New Roman" w:cs="Times New Roman" w:hAnsi="Times New Roman" w:eastAsia="Times New Roman"/>
        </w:rPr>
      </w:pPr>
      <w:r>
        <w:rPr>
          <w:rFonts w:ascii="Times New Roman" w:hAnsi="Times New Roman"/>
          <w:rtl w:val="0"/>
          <w:lang w:val="en-US"/>
        </w:rPr>
        <w:t xml:space="preserve">Our recommendations were shared with </w:t>
      </w:r>
      <w:r>
        <w:rPr>
          <w:rFonts w:ascii="Times New Roman" w:hAnsi="Times New Roman"/>
          <w:rtl w:val="0"/>
          <w:lang w:val="en-US"/>
        </w:rPr>
        <w:t>policymakers</w:t>
      </w:r>
      <w:r>
        <w:rPr>
          <w:rFonts w:ascii="Times New Roman" w:hAnsi="Times New Roman"/>
          <w:rtl w:val="0"/>
          <w:lang w:val="en-US"/>
        </w:rPr>
        <w:t xml:space="preserve"> at the time and included the following: </w:t>
      </w:r>
    </w:p>
    <w:p>
      <w:pPr>
        <w:pStyle w:val="No Spacing"/>
        <w:numPr>
          <w:ilvl w:val="0"/>
          <w:numId w:val="2"/>
        </w:numPr>
        <w:bidi w:val="0"/>
        <w:spacing w:after="240" w:line="360" w:lineRule="auto"/>
        <w:ind w:right="0"/>
        <w:jc w:val="both"/>
        <w:rPr>
          <w:rFonts w:ascii="Times New Roman" w:hAnsi="Times New Roman"/>
          <w:rtl w:val="0"/>
          <w:lang w:val="en-US"/>
        </w:rPr>
      </w:pPr>
      <w:r>
        <w:rPr>
          <w:rFonts w:ascii="Times New Roman" w:hAnsi="Times New Roman"/>
          <w:rtl w:val="0"/>
          <w:lang w:val="en-US"/>
        </w:rPr>
        <w:t>Sexuality education and ways of teaching about gender and sexualities, including the recognition and management of CSA and incest, and the underlying legal framework, must be compulsory components of all teacher education programmes at the relevant universities in Trinidad and Tobago. For teachers, principals and guidance officers who have already been trained; compulsory follow-up workshops are proposed</w:t>
      </w:r>
      <w:r>
        <w:rPr>
          <w:rFonts w:ascii="Times New Roman" w:hAnsi="Times New Roman"/>
          <w:rtl w:val="0"/>
          <w:lang w:val="en-US"/>
        </w:rPr>
        <w:t>;</w:t>
      </w:r>
    </w:p>
    <w:p>
      <w:pPr>
        <w:pStyle w:val="No Spacing"/>
        <w:numPr>
          <w:ilvl w:val="0"/>
          <w:numId w:val="2"/>
        </w:numPr>
        <w:bidi w:val="0"/>
        <w:spacing w:after="240" w:line="360" w:lineRule="auto"/>
        <w:ind w:right="0"/>
        <w:jc w:val="both"/>
        <w:rPr>
          <w:rFonts w:ascii="Times New Roman" w:hAnsi="Times New Roman"/>
          <w:rtl w:val="0"/>
          <w:lang w:val="en-US"/>
        </w:rPr>
      </w:pPr>
      <w:r>
        <w:rPr>
          <w:rFonts w:ascii="Times New Roman" w:hAnsi="Times New Roman"/>
          <w:rtl w:val="0"/>
          <w:lang w:val="en-US"/>
        </w:rPr>
        <w:t>If necessary, specially trained teachers could be introduced to work with a number of schools as some teachers have religious predispositions against this or simply don</w:t>
      </w:r>
      <w:r>
        <w:rPr>
          <w:rFonts w:ascii="Times New Roman" w:hAnsi="Times New Roman" w:hint="default"/>
          <w:rtl w:val="0"/>
          <w:lang w:val="en-US"/>
        </w:rPr>
        <w:t>’</w:t>
      </w:r>
      <w:r>
        <w:rPr>
          <w:rFonts w:ascii="Times New Roman" w:hAnsi="Times New Roman"/>
          <w:rtl w:val="0"/>
          <w:lang w:val="en-US"/>
        </w:rPr>
        <w:t>t feel comfortable</w:t>
      </w:r>
      <w:r>
        <w:rPr>
          <w:rFonts w:ascii="Times New Roman" w:hAnsi="Times New Roman"/>
          <w:rtl w:val="0"/>
          <w:lang w:val="en-US"/>
        </w:rPr>
        <w:t>;</w:t>
      </w:r>
    </w:p>
    <w:p>
      <w:pPr>
        <w:pStyle w:val="No Spacing"/>
        <w:numPr>
          <w:ilvl w:val="0"/>
          <w:numId w:val="2"/>
        </w:numPr>
        <w:bidi w:val="0"/>
        <w:spacing w:after="240" w:line="360" w:lineRule="auto"/>
        <w:ind w:right="0"/>
        <w:jc w:val="both"/>
        <w:rPr>
          <w:rFonts w:ascii="Times New Roman" w:hAnsi="Times New Roman"/>
          <w:rtl w:val="0"/>
          <w:lang w:val="en-US"/>
        </w:rPr>
      </w:pPr>
      <w:r>
        <w:rPr>
          <w:rFonts w:ascii="Times New Roman" w:hAnsi="Times New Roman"/>
          <w:rtl w:val="0"/>
          <w:lang w:val="en-US"/>
        </w:rPr>
        <w:t>Curricula for sexuality and HIV education must be developed for all children, teachers, parents and other stakeholders involved in the education of children. It must include awareness and prevention of CSA and incest, CSA and incest as a risk factor for HIV/STI</w:t>
      </w:r>
      <w:r>
        <w:rPr>
          <w:rFonts w:ascii="Times New Roman" w:hAnsi="Times New Roman"/>
          <w:rtl w:val="0"/>
          <w:lang w:val="en-US"/>
        </w:rPr>
        <w:t>;</w:t>
      </w:r>
    </w:p>
    <w:p>
      <w:pPr>
        <w:pStyle w:val="No Spacing"/>
        <w:numPr>
          <w:ilvl w:val="0"/>
          <w:numId w:val="2"/>
        </w:numPr>
        <w:bidi w:val="0"/>
        <w:spacing w:after="240" w:line="360" w:lineRule="auto"/>
        <w:ind w:right="0"/>
        <w:jc w:val="both"/>
        <w:rPr>
          <w:rFonts w:ascii="Times New Roman" w:hAnsi="Times New Roman"/>
          <w:rtl w:val="0"/>
          <w:lang w:val="en-US"/>
        </w:rPr>
      </w:pPr>
      <w:r>
        <w:rPr>
          <w:rFonts w:ascii="Times New Roman" w:hAnsi="Times New Roman"/>
          <w:rtl w:val="0"/>
          <w:lang w:val="en-US"/>
        </w:rPr>
        <w:t>Gender-informed</w:t>
      </w:r>
      <w:r>
        <w:rPr>
          <w:rFonts w:ascii="Times New Roman" w:hAnsi="Times New Roman"/>
          <w:rtl w:val="0"/>
          <w:lang w:val="en-US"/>
        </w:rPr>
        <w:t xml:space="preserve"> HFLE/Life Skills and sexuality education programmes must include gender-based violence and sexual abuse components; and</w:t>
      </w:r>
    </w:p>
    <w:p>
      <w:pPr>
        <w:pStyle w:val="No Spacing"/>
        <w:numPr>
          <w:ilvl w:val="0"/>
          <w:numId w:val="3"/>
        </w:numPr>
        <w:bidi w:val="0"/>
        <w:spacing w:after="240" w:line="360" w:lineRule="auto"/>
        <w:ind w:right="0"/>
        <w:jc w:val="both"/>
        <w:rPr>
          <w:rFonts w:ascii="Times New Roman" w:hAnsi="Times New Roman"/>
          <w:b w:val="1"/>
          <w:bCs w:val="1"/>
          <w:rtl w:val="0"/>
          <w:lang w:val="en-US"/>
        </w:rPr>
      </w:pPr>
      <w:r>
        <w:rPr>
          <w:rFonts w:ascii="Times New Roman" w:hAnsi="Times New Roman"/>
          <w:b w:val="0"/>
          <w:bCs w:val="0"/>
          <w:rtl w:val="0"/>
          <w:lang w:val="en-US"/>
        </w:rPr>
        <w:t>Children must be</w:t>
      </w:r>
      <w:r>
        <w:rPr>
          <w:rFonts w:ascii="Times New Roman" w:hAnsi="Times New Roman"/>
          <w:b w:val="0"/>
          <w:bCs w:val="0"/>
          <w:rtl w:val="0"/>
          <w:lang w:val="en-US"/>
        </w:rPr>
        <w:t xml:space="preserve"> taught </w:t>
      </w:r>
      <w:r>
        <w:rPr>
          <w:rFonts w:ascii="Times New Roman" w:hAnsi="Times New Roman"/>
          <w:b w:val="0"/>
          <w:bCs w:val="0"/>
          <w:rtl w:val="0"/>
          <w:lang w:val="en-US"/>
        </w:rPr>
        <w:t>more a</w:t>
      </w:r>
      <w:r>
        <w:rPr>
          <w:rFonts w:ascii="Times New Roman" w:hAnsi="Times New Roman"/>
          <w:b w:val="0"/>
          <w:bCs w:val="0"/>
          <w:rtl w:val="0"/>
          <w:lang w:val="en-US"/>
        </w:rPr>
        <w:t xml:space="preserve">bout </w:t>
      </w:r>
      <w:r>
        <w:rPr>
          <w:rFonts w:ascii="Times New Roman" w:hAnsi="Times New Roman"/>
          <w:b w:val="0"/>
          <w:bCs w:val="0"/>
          <w:rtl w:val="0"/>
          <w:lang w:val="en-US"/>
        </w:rPr>
        <w:t xml:space="preserve">their rights as outlined in the </w:t>
      </w:r>
      <w:r>
        <w:rPr>
          <w:rFonts w:ascii="Times New Roman" w:hAnsi="Times New Roman"/>
          <w:b w:val="1"/>
          <w:bCs w:val="1"/>
          <w:rtl w:val="0"/>
          <w:lang w:val="en-US"/>
        </w:rPr>
        <w:t>Convention of the Rights of a Child.</w:t>
      </w:r>
    </w:p>
    <w:p>
      <w:pPr>
        <w:pStyle w:val="No Spacing"/>
        <w:tabs>
          <w:tab w:val="left" w:pos="8860"/>
        </w:tabs>
        <w:spacing w:after="60" w:line="360" w:lineRule="auto"/>
        <w:jc w:val="both"/>
        <w:rPr>
          <w:rFonts w:ascii="Times New Roman" w:cs="Times New Roman" w:hAnsi="Times New Roman" w:eastAsia="Times New Roman"/>
        </w:rPr>
      </w:pPr>
      <w:r>
        <w:rPr>
          <w:rFonts w:ascii="Times New Roman" w:hAnsi="Times New Roman"/>
          <w:rtl w:val="0"/>
          <w:lang w:val="en-US"/>
        </w:rPr>
        <w:t>I congratulate the Concerned Parents Movement on taking this important stand. We can no longer bury our heads in the sand. Education must inform and empower.</w:t>
      </w:r>
      <w:r>
        <w:rPr>
          <w:rFonts w:ascii="Times New Roman" w:hAnsi="Times New Roman"/>
          <w:rtl w:val="0"/>
          <w:lang w:val="en-US"/>
        </w:rPr>
        <w:t xml:space="preserve"> </w:t>
      </w:r>
      <w:r>
        <w:rPr>
          <w:rFonts w:ascii="Times New Roman" w:hAnsi="Times New Roman"/>
          <w:rtl w:val="0"/>
          <w:lang w:val="en-US"/>
        </w:rPr>
        <w:t>We also call for the establishment of a Children's Commissioner or Ombudsperson to oversee the implementation of the Convention on the Rights of the Child of which Trinidad and Tobago is a signatory.</w:t>
      </w:r>
    </w:p>
    <w:p>
      <w:pPr>
        <w:pStyle w:val="No Spacing"/>
        <w:tabs>
          <w:tab w:val="left" w:pos="8860"/>
        </w:tabs>
        <w:spacing w:after="60" w:line="360" w:lineRule="auto"/>
        <w:rPr>
          <w:rFonts w:ascii="Times New Roman" w:cs="Times New Roman" w:hAnsi="Times New Roman" w:eastAsia="Times New Roman"/>
        </w:rPr>
      </w:pPr>
    </w:p>
    <w:p>
      <w:pPr>
        <w:pStyle w:val="No Spacing"/>
        <w:tabs>
          <w:tab w:val="left" w:pos="8860"/>
        </w:tabs>
        <w:spacing w:after="60" w:line="360" w:lineRule="auto"/>
        <w:rPr>
          <w:rFonts w:ascii="Times New Roman" w:cs="Times New Roman" w:hAnsi="Times New Roman" w:eastAsia="Times New Roman"/>
        </w:rPr>
      </w:pPr>
      <w:r>
        <w:rPr>
          <w:rFonts w:ascii="Times New Roman" w:hAnsi="Times New Roman"/>
          <w:rtl w:val="0"/>
          <w:lang w:val="en-US"/>
        </w:rPr>
        <w:t>Rhoda Reddock</w:t>
      </w:r>
    </w:p>
    <w:p>
      <w:pPr>
        <w:pStyle w:val="No Spacing"/>
        <w:tabs>
          <w:tab w:val="left" w:pos="8860"/>
        </w:tabs>
        <w:spacing w:after="60" w:line="360" w:lineRule="auto"/>
        <w:rPr>
          <w:rFonts w:ascii="Times New Roman" w:cs="Times New Roman" w:hAnsi="Times New Roman" w:eastAsia="Times New Roman"/>
        </w:rPr>
      </w:pPr>
      <w:r>
        <w:rPr>
          <w:rFonts w:ascii="Times New Roman" w:hAnsi="Times New Roman"/>
          <w:rtl w:val="0"/>
          <w:lang w:val="en-US"/>
        </w:rPr>
        <w:t xml:space="preserve">On </w:t>
      </w:r>
      <w:r>
        <w:rPr>
          <w:rFonts w:ascii="Times New Roman" w:hAnsi="Times New Roman"/>
          <w:rtl w:val="0"/>
          <w:lang w:val="en-US"/>
        </w:rPr>
        <w:t>behalf</w:t>
      </w:r>
      <w:r>
        <w:rPr>
          <w:rFonts w:ascii="Times New Roman" w:hAnsi="Times New Roman"/>
          <w:rtl w:val="0"/>
          <w:lang w:val="en-US"/>
        </w:rPr>
        <w:t xml:space="preserve"> of the Break the Silence Campaign</w:t>
      </w:r>
    </w:p>
    <w:p>
      <w:pPr>
        <w:pStyle w:val="Normal (Web)"/>
        <w:shd w:val="clear" w:color="auto" w:fill="ffffff"/>
        <w:spacing w:before="0" w:after="0"/>
        <w:jc w:val="both"/>
        <w:rPr>
          <w:rFonts w:ascii="Cambria" w:cs="Cambria" w:hAnsi="Cambria" w:eastAsia="Cambria"/>
          <w:b w:val="1"/>
          <w:bCs w:val="1"/>
          <w:i w:val="1"/>
          <w:iCs w:val="1"/>
          <w:sz w:val="22"/>
          <w:szCs w:val="22"/>
          <w:lang w:val="en-US"/>
        </w:rPr>
      </w:pPr>
    </w:p>
    <w:p>
      <w:pPr>
        <w:pStyle w:val="Normal (Web)"/>
        <w:shd w:val="clear" w:color="auto" w:fill="ffffff"/>
        <w:spacing w:before="0" w:after="0"/>
        <w:jc w:val="both"/>
        <w:rPr>
          <w:rFonts w:ascii="Cambria" w:cs="Cambria" w:hAnsi="Cambria" w:eastAsia="Cambria"/>
          <w:b w:val="1"/>
          <w:bCs w:val="1"/>
          <w:i w:val="1"/>
          <w:iCs w:val="1"/>
          <w:sz w:val="20"/>
          <w:szCs w:val="20"/>
          <w:lang w:val="en-US"/>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923"/>
      </w:tblGrid>
      <w:tr>
        <w:tblPrEx>
          <w:shd w:val="clear" w:color="auto" w:fill="d0ddef"/>
        </w:tblPrEx>
        <w:trPr>
          <w:trHeight w:val="1240" w:hRule="atLeast"/>
        </w:trPr>
        <w:tc>
          <w:tcPr>
            <w:tcW w:type="dxa" w:w="9923"/>
            <w:tcBorders>
              <w:top w:val="nil"/>
              <w:left w:val="nil"/>
              <w:bottom w:val="nil"/>
              <w:right w:val="nil"/>
            </w:tcBorders>
            <w:shd w:val="clear" w:color="auto" w:fill="300f33"/>
            <w:tcMar>
              <w:top w:type="dxa" w:w="80"/>
              <w:left w:type="dxa" w:w="80"/>
              <w:bottom w:type="dxa" w:w="80"/>
              <w:right w:type="dxa" w:w="80"/>
            </w:tcMar>
            <w:vAlign w:val="center"/>
          </w:tcPr>
          <w:p>
            <w:pPr>
              <w:pStyle w:val="Body"/>
              <w:spacing w:after="0" w:line="252" w:lineRule="auto"/>
              <w:jc w:val="center"/>
              <w:rPr>
                <w:rFonts w:ascii="Times New Roman" w:cs="Times New Roman" w:hAnsi="Times New Roman" w:eastAsia="Times New Roman"/>
                <w:sz w:val="18"/>
                <w:szCs w:val="18"/>
              </w:rPr>
            </w:pPr>
          </w:p>
          <w:p>
            <w:pPr>
              <w:pStyle w:val="Body"/>
              <w:spacing w:after="0" w:line="252" w:lineRule="auto"/>
              <w:jc w:val="center"/>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Institute for Gender and Development Studies</w:t>
            </w:r>
          </w:p>
          <w:p>
            <w:pPr>
              <w:pStyle w:val="Body"/>
              <w:spacing w:after="0" w:line="252" w:lineRule="auto"/>
              <w:jc w:val="center"/>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The University of the West Indies St. Augustine Campus</w:t>
            </w:r>
            <w:r>
              <w:rPr>
                <w:rFonts w:ascii="Times New Roman" w:hAnsi="Times New Roman" w:hint="default"/>
                <w:b w:val="1"/>
                <w:bCs w:val="1"/>
                <w:sz w:val="18"/>
                <w:szCs w:val="18"/>
                <w:rtl w:val="0"/>
                <w:lang w:val="en-US"/>
              </w:rPr>
              <w:t> • </w:t>
            </w:r>
            <w:r>
              <w:rPr>
                <w:rFonts w:ascii="Times New Roman" w:hAnsi="Times New Roman"/>
                <w:b w:val="1"/>
                <w:bCs w:val="1"/>
                <w:sz w:val="18"/>
                <w:szCs w:val="18"/>
                <w:rtl w:val="0"/>
                <w:lang w:val="en-US"/>
              </w:rPr>
              <w:t>St. Augustine, Trinidad and Tobago</w:t>
            </w:r>
          </w:p>
          <w:p>
            <w:pPr>
              <w:pStyle w:val="Body"/>
              <w:spacing w:after="0" w:line="252" w:lineRule="auto"/>
              <w:jc w:val="center"/>
            </w:pPr>
            <w:r>
              <w:rPr>
                <w:rFonts w:ascii="Times New Roman" w:hAnsi="Times New Roman" w:hint="default"/>
                <w:b w:val="1"/>
                <w:bCs w:val="1"/>
                <w:sz w:val="18"/>
                <w:szCs w:val="18"/>
                <w:rtl w:val="0"/>
                <w:lang w:val="en-US"/>
              </w:rPr>
              <w:t> </w:t>
            </w:r>
            <w:r>
              <w:rPr>
                <w:rFonts w:ascii="Times New Roman" w:hAnsi="Times New Roman"/>
                <w:b w:val="1"/>
                <w:bCs w:val="1"/>
                <w:sz w:val="18"/>
                <w:szCs w:val="18"/>
                <w:rtl w:val="0"/>
                <w:lang w:val="en-US"/>
              </w:rPr>
              <w:t xml:space="preserve">Telephone: </w:t>
            </w:r>
            <w:r>
              <w:rPr>
                <w:rFonts w:ascii="Times New Roman" w:hAnsi="Times New Roman"/>
                <w:sz w:val="18"/>
                <w:szCs w:val="18"/>
                <w:rtl w:val="0"/>
                <w:lang w:val="en-US"/>
              </w:rPr>
              <w:t>(868) 662-2002 Exts. 83577 / 83572 / 82533</w:t>
            </w:r>
            <w:r>
              <w:rPr>
                <w:rFonts w:ascii="Times New Roman" w:hAnsi="Times New Roman"/>
                <w:sz w:val="18"/>
                <w:szCs w:val="18"/>
                <w:rtl w:val="0"/>
                <w:lang w:val="en-US"/>
              </w:rPr>
              <w:t xml:space="preserve">          </w:t>
            </w:r>
            <w:r>
              <w:rPr>
                <w:rFonts w:ascii="Times New Roman" w:hAnsi="Times New Roman"/>
                <w:b w:val="1"/>
                <w:bCs w:val="1"/>
                <w:sz w:val="18"/>
                <w:szCs w:val="18"/>
                <w:rtl w:val="0"/>
                <w:lang w:val="en-US"/>
              </w:rPr>
              <w:t>E</w:t>
            </w:r>
            <w:r>
              <w:rPr>
                <w:rFonts w:ascii="Times New Roman" w:hAnsi="Times New Roman"/>
                <w:b w:val="1"/>
                <w:bCs w:val="1"/>
                <w:sz w:val="18"/>
                <w:szCs w:val="18"/>
                <w:rtl w:val="0"/>
                <w:lang w:val="en-US"/>
              </w:rPr>
              <w:t>mai</w:t>
            </w:r>
            <w:r>
              <w:rPr>
                <w:rFonts w:ascii="Times New Roman" w:hAnsi="Times New Roman"/>
                <w:b w:val="1"/>
                <w:bCs w:val="1"/>
                <w:sz w:val="18"/>
                <w:szCs w:val="18"/>
                <w:rtl w:val="0"/>
                <w:lang w:val="en-US"/>
              </w:rPr>
              <w:t xml:space="preserve">l: </w:t>
            </w:r>
            <w:r>
              <w:rPr>
                <w:rFonts w:ascii="Times New Roman" w:hAnsi="Times New Roman" w:hint="default"/>
                <w:sz w:val="18"/>
                <w:szCs w:val="18"/>
                <w:rtl w:val="0"/>
              </w:rPr>
              <w:t> </w:t>
            </w: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"mailto:igds@sta.uwi.edu"</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rPr>
              <w:t>igds@sta.uwi.edu</w:t>
            </w:r>
            <w:r>
              <w:rPr>
                <w:rFonts w:ascii="Times New Roman" w:cs="Times New Roman" w:hAnsi="Times New Roman" w:eastAsia="Times New Roman"/>
                <w:sz w:val="18"/>
                <w:szCs w:val="18"/>
              </w:rPr>
              <w:fldChar w:fldCharType="end" w:fldLock="0"/>
            </w:r>
            <w:r>
              <w:rPr>
                <w:rFonts w:ascii="Arial Unicode MS" w:cs="Arial Unicode MS" w:hAnsi="Arial Unicode MS" w:eastAsia="Arial Unicode MS"/>
                <w:b w:val="0"/>
                <w:bCs w:val="0"/>
                <w:i w:val="0"/>
                <w:iCs w:val="0"/>
                <w:sz w:val="18"/>
                <w:szCs w:val="18"/>
              </w:rPr>
              <w:br w:type="textWrapping"/>
            </w:r>
            <w:r>
              <w:rPr>
                <w:rFonts w:ascii="Times New Roman" w:hAnsi="Times New Roman"/>
                <w:b w:val="1"/>
                <w:bCs w:val="1"/>
                <w:sz w:val="18"/>
                <w:szCs w:val="18"/>
                <w:rtl w:val="0"/>
                <w:lang w:val="en-US"/>
              </w:rPr>
              <w:t>Website:</w:t>
            </w:r>
            <w:r>
              <w:rPr>
                <w:rFonts w:ascii="Times New Roman" w:hAnsi="Times New Roman"/>
                <w:sz w:val="18"/>
                <w:szCs w:val="18"/>
                <w:rtl w:val="0"/>
                <w:lang w:val="en-US"/>
              </w:rPr>
              <w:t xml:space="preserve"> </w:t>
            </w: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"https://sta.uwi.edu/igds/"</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rPr>
              <w:t>https://sta.uwi.edu/igds/</w:t>
            </w:r>
            <w:r>
              <w:rPr>
                <w:rFonts w:ascii="Times New Roman" w:cs="Times New Roman" w:hAnsi="Times New Roman" w:eastAsia="Times New Roman"/>
                <w:sz w:val="18"/>
                <w:szCs w:val="18"/>
              </w:rPr>
              <w:fldChar w:fldCharType="end" w:fldLock="0"/>
            </w:r>
            <w:r>
              <w:rPr>
                <w:rFonts w:ascii="Times New Roman" w:cs="Times New Roman" w:hAnsi="Times New Roman" w:eastAsia="Times New Roman"/>
                <w:sz w:val="18"/>
                <w:szCs w:val="18"/>
              </w:rPr>
            </w:r>
          </w:p>
        </w:tc>
      </w:tr>
    </w:tbl>
    <w:p>
      <w:pPr>
        <w:pStyle w:val="Normal (Web)"/>
        <w:widowControl w:val="0"/>
        <w:shd w:val="clear" w:color="auto" w:fill="ffffff"/>
        <w:spacing w:before="0" w:after="0"/>
        <w:jc w:val="both"/>
      </w:pPr>
      <w:r>
        <w:rPr>
          <w:rFonts w:ascii="Cambria" w:cs="Cambria" w:hAnsi="Cambria" w:eastAsia="Cambria"/>
          <w:b w:val="1"/>
          <w:bCs w:val="1"/>
          <w:i w:val="1"/>
          <w:iCs w:val="1"/>
          <w:sz w:val="20"/>
          <w:szCs w:val="20"/>
          <w:lang w:val="en-US"/>
        </w:rPr>
      </w:r>
    </w:p>
    <w:sectPr>
      <w:headerReference w:type="default" r:id="rId5"/>
      <w:footerReference w:type="default" r:id="rId6"/>
      <w:pgSz w:w="12240" w:h="15840" w:orient="portrait"/>
      <w:pgMar w:top="1080" w:right="1440" w:bottom="1080" w:left="1440" w:header="36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ajan Pr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Cambria" w:hAnsi="Cambria"/>
        <w:rtl w:val="0"/>
        <w:lang w:val="en-US"/>
      </w:rPr>
      <w:t xml:space="preserve">Page </w:t>
    </w:r>
    <w:r>
      <w:rPr>
        <w:rFonts w:ascii="Cambria" w:cs="Cambria" w:hAnsi="Cambria" w:eastAsia="Cambria"/>
      </w:rPr>
      <w:fldChar w:fldCharType="begin" w:fldLock="0"/>
    </w:r>
    <w:r>
      <w:rPr>
        <w:rFonts w:ascii="Cambria" w:cs="Cambria" w:hAnsi="Cambria" w:eastAsia="Cambria"/>
      </w:rPr>
      <w:instrText xml:space="preserve"> PAGE </w:instrText>
    </w:r>
    <w:r>
      <w:rPr>
        <w:rFonts w:ascii="Cambria" w:cs="Cambria" w:hAnsi="Cambria" w:eastAsia="Cambria"/>
      </w:rPr>
      <w:fldChar w:fldCharType="separate" w:fldLock="0"/>
    </w:r>
    <w:r>
      <w:rPr>
        <w:rFonts w:ascii="Cambria" w:cs="Cambria" w:hAnsi="Cambria" w:eastAsia="Cambria"/>
      </w:rPr>
    </w:r>
    <w:r>
      <w:rPr>
        <w:rFonts w:ascii="Cambria" w:cs="Cambria" w:hAnsi="Cambria" w:eastAsia="Cambria"/>
      </w:rPr>
      <w:fldChar w:fldCharType="end" w:fldLock="0"/>
    </w:r>
    <w:r>
      <w:rPr>
        <w:rFonts w:ascii="Cambria" w:hAnsi="Cambria"/>
        <w:rtl w:val="0"/>
        <w:lang w:val="en-US"/>
      </w:rPr>
      <w:t xml:space="preserve"> of </w:t>
    </w:r>
    <w:r>
      <w:rPr>
        <w:rFonts w:ascii="Cambria" w:cs="Cambria" w:hAnsi="Cambria" w:eastAsia="Cambria"/>
      </w:rPr>
      <w:fldChar w:fldCharType="begin" w:fldLock="0"/>
    </w:r>
    <w:r>
      <w:rPr>
        <w:rFonts w:ascii="Cambria" w:cs="Cambria" w:hAnsi="Cambria" w:eastAsia="Cambria"/>
      </w:rPr>
      <w:instrText xml:space="preserve"> NUMPAGES </w:instrText>
    </w:r>
    <w:r>
      <w:rPr>
        <w:rFonts w:ascii="Cambria" w:cs="Cambria" w:hAnsi="Cambria" w:eastAsia="Cambria"/>
      </w:rPr>
      <w:fldChar w:fldCharType="separate" w:fldLock="0"/>
    </w:r>
    <w:r>
      <w:rPr>
        <w:rFonts w:ascii="Cambria" w:cs="Cambria" w:hAnsi="Cambria" w:eastAsia="Cambria"/>
      </w:rPr>
    </w:r>
    <w:r>
      <w:rPr>
        <w:rFonts w:ascii="Cambria" w:cs="Cambria" w:hAnsi="Cambria" w:eastAsia="Cambria"/>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rmal (Web)"/>
        <w:spacing w:before="0" w:after="0"/>
      </w:pPr>
      <w:r>
        <w:rPr>
          <w:sz w:val="18"/>
          <w:szCs w:val="18"/>
          <w:vertAlign w:val="superscript"/>
        </w:rPr>
        <w:footnoteRef/>
      </w:r>
      <w:r>
        <w:rPr>
          <w:sz w:val="18"/>
          <w:szCs w:val="18"/>
          <w:rtl w:val="0"/>
          <w:lang w:val="en-US"/>
        </w:rPr>
        <w:t xml:space="preserve"> </w:t>
      </w:r>
      <w:r>
        <w:rPr>
          <w:rStyle w:val="Hyperlink.0"/>
          <w:sz w:val="18"/>
          <w:szCs w:val="18"/>
        </w:rPr>
        <w:fldChar w:fldCharType="begin" w:fldLock="0"/>
      </w:r>
      <w:r>
        <w:rPr>
          <w:rStyle w:val="Hyperlink.0"/>
          <w:sz w:val="18"/>
          <w:szCs w:val="18"/>
        </w:rPr>
        <w:instrText xml:space="preserve"> HYPERLINK "https://www.amazon.com/Sex-Power-Taboo-Gender-Caribbean/dp/9766373493"</w:instrText>
      </w:r>
      <w:r>
        <w:rPr>
          <w:rStyle w:val="Hyperlink.0"/>
          <w:sz w:val="18"/>
          <w:szCs w:val="18"/>
        </w:rPr>
        <w:fldChar w:fldCharType="separate" w:fldLock="0"/>
      </w:r>
      <w:r>
        <w:rPr>
          <w:rStyle w:val="Hyperlink.0"/>
          <w:sz w:val="18"/>
          <w:szCs w:val="18"/>
          <w:rtl w:val="0"/>
          <w:lang w:val="en-US"/>
        </w:rPr>
        <w:t>Sex, Power and Taboo: Gender and HIV in the Caribbean and Beyond: Dorothy Roberts, Rhoda Reddock, Dianne Douglas, Sandra Reid: 9789766373498: Amazon.com: Books</w:t>
      </w:r>
      <w:r>
        <w:rPr>
          <w:sz w:val="18"/>
          <w:szCs w:val="18"/>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88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8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8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88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8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8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88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8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x_x_x_x_msonormal">
    <w:name w:val="x_x_x_x_msonormal"/>
    <w:next w:val="x_x_x_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character" w:styleId="Hyperlink.1">
    <w:name w:val="Hyperlink.1"/>
    <w:basedOn w:val="Hyperlink.0"/>
    <w:next w:val="Hyperlink.1"/>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