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80"/>
      </w:tblGrid>
      <w:tr w:rsidR="00066003" w14:paraId="76B26197" w14:textId="77777777">
        <w:trPr>
          <w:trHeight w:val="3352"/>
        </w:trPr>
        <w:tc>
          <w:tcPr>
            <w:tcW w:w="10080" w:type="dxa"/>
            <w:tcBorders>
              <w:top w:val="nil"/>
              <w:left w:val="nil"/>
              <w:bottom w:val="nil"/>
              <w:right w:val="nil"/>
            </w:tcBorders>
            <w:shd w:val="clear" w:color="auto" w:fill="auto"/>
            <w:tcMar>
              <w:top w:w="80" w:type="dxa"/>
              <w:left w:w="80" w:type="dxa"/>
              <w:bottom w:w="80" w:type="dxa"/>
              <w:right w:w="80" w:type="dxa"/>
            </w:tcMar>
            <w:vAlign w:val="center"/>
          </w:tcPr>
          <w:p w14:paraId="4FA361B7" w14:textId="77777777" w:rsidR="00066003" w:rsidRDefault="00E70F86">
            <w:pPr>
              <w:pStyle w:val="NormalWeb"/>
              <w:spacing w:before="0" w:after="0" w:line="252" w:lineRule="auto"/>
              <w:jc w:val="center"/>
              <w:rPr>
                <w:rFonts w:ascii="Calibri" w:eastAsia="Calibri" w:hAnsi="Calibri" w:cs="Calibri"/>
                <w:sz w:val="22"/>
                <w:szCs w:val="22"/>
              </w:rPr>
            </w:pPr>
            <w:r>
              <w:rPr>
                <w:rFonts w:ascii="Calibri" w:eastAsia="Calibri" w:hAnsi="Calibri" w:cs="Calibri"/>
                <w:noProof/>
                <w:sz w:val="22"/>
                <w:szCs w:val="22"/>
              </w:rPr>
              <w:drawing>
                <wp:inline distT="0" distB="0" distL="0" distR="0" wp14:anchorId="64351F0D" wp14:editId="64F527E9">
                  <wp:extent cx="4493253" cy="1942826"/>
                  <wp:effectExtent l="0" t="0" r="0" b="0"/>
                  <wp:docPr id="1073741825" name="officeArt object" descr="A picture containing sitting, person, food, motorcyc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itting, person, food, motorcycleDescription automatically generated" descr="A picture containing sitting, person, food, motorcycleDescription automatically generated"/>
                          <pic:cNvPicPr>
                            <a:picLocks noChangeAspect="1"/>
                          </pic:cNvPicPr>
                        </pic:nvPicPr>
                        <pic:blipFill>
                          <a:blip r:embed="rId8">
                            <a:extLst/>
                          </a:blip>
                          <a:srcRect t="5015" b="8417"/>
                          <a:stretch>
                            <a:fillRect/>
                          </a:stretch>
                        </pic:blipFill>
                        <pic:spPr>
                          <a:xfrm>
                            <a:off x="0" y="0"/>
                            <a:ext cx="4493253" cy="1942826"/>
                          </a:xfrm>
                          <a:prstGeom prst="rect">
                            <a:avLst/>
                          </a:prstGeom>
                          <a:ln w="12700" cap="flat">
                            <a:noFill/>
                            <a:miter lim="400000"/>
                          </a:ln>
                          <a:effectLst/>
                        </pic:spPr>
                      </pic:pic>
                    </a:graphicData>
                  </a:graphic>
                </wp:inline>
              </w:drawing>
            </w:r>
          </w:p>
          <w:p w14:paraId="49E87A8D" w14:textId="77777777" w:rsidR="00066003" w:rsidRDefault="00E70F86">
            <w:pPr>
              <w:pStyle w:val="NormalWeb"/>
              <w:spacing w:before="0" w:after="0" w:line="252" w:lineRule="auto"/>
              <w:jc w:val="center"/>
            </w:pPr>
            <w:r>
              <w:rPr>
                <w:rFonts w:ascii="Trajan Pro" w:hAnsi="Trajan Pro"/>
                <w:sz w:val="20"/>
                <w:szCs w:val="20"/>
              </w:rPr>
              <w:t xml:space="preserve">Institute for Gender and Development Studies, St Augustine Unit </w:t>
            </w:r>
          </w:p>
        </w:tc>
      </w:tr>
      <w:tr w:rsidR="00066003" w14:paraId="0105347B" w14:textId="77777777">
        <w:trPr>
          <w:trHeight w:val="640"/>
        </w:trPr>
        <w:tc>
          <w:tcPr>
            <w:tcW w:w="10080" w:type="dxa"/>
            <w:tcBorders>
              <w:top w:val="nil"/>
              <w:left w:val="nil"/>
              <w:bottom w:val="nil"/>
              <w:right w:val="nil"/>
            </w:tcBorders>
            <w:shd w:val="clear" w:color="auto" w:fill="300F33"/>
            <w:tcMar>
              <w:top w:w="80" w:type="dxa"/>
              <w:left w:w="80" w:type="dxa"/>
              <w:bottom w:w="80" w:type="dxa"/>
              <w:right w:w="80" w:type="dxa"/>
            </w:tcMar>
            <w:vAlign w:val="center"/>
          </w:tcPr>
          <w:p w14:paraId="3456CD0D" w14:textId="77777777" w:rsidR="00066003" w:rsidRPr="00E70F86" w:rsidRDefault="00E70F86">
            <w:pPr>
              <w:pStyle w:val="NormalWeb"/>
              <w:spacing w:before="0" w:after="0" w:line="252" w:lineRule="auto"/>
              <w:jc w:val="center"/>
              <w:rPr>
                <w:color w:val="FFFFFF" w:themeColor="background1"/>
              </w:rPr>
            </w:pPr>
            <w:r w:rsidRPr="00E70F86">
              <w:rPr>
                <w:rFonts w:ascii="Cambria" w:hAnsi="Cambria"/>
                <w:b/>
                <w:bCs/>
                <w:color w:val="FFFFFF" w:themeColor="background1"/>
                <w:sz w:val="54"/>
                <w:szCs w:val="54"/>
                <w:u w:color="FFFFFF"/>
              </w:rPr>
              <w:t>STATEMENT</w:t>
            </w:r>
          </w:p>
        </w:tc>
      </w:tr>
    </w:tbl>
    <w:p w14:paraId="3FBB1479" w14:textId="77777777" w:rsidR="00066003" w:rsidRDefault="00066003">
      <w:pPr>
        <w:pStyle w:val="Body"/>
        <w:widowControl w:val="0"/>
        <w:spacing w:line="240" w:lineRule="auto"/>
        <w:rPr>
          <w:rFonts w:ascii="Cambria" w:eastAsia="Cambria" w:hAnsi="Cambria" w:cs="Cambria"/>
          <w:sz w:val="20"/>
          <w:szCs w:val="20"/>
        </w:rPr>
      </w:pPr>
    </w:p>
    <w:p w14:paraId="070D2BDF" w14:textId="77777777" w:rsidR="00066003" w:rsidRDefault="00E70F86">
      <w:pPr>
        <w:pStyle w:val="p1"/>
        <w:spacing w:line="264" w:lineRule="auto"/>
        <w:jc w:val="right"/>
        <w:rPr>
          <w:rFonts w:ascii="Times New Roman" w:eastAsia="Times New Roman" w:hAnsi="Times New Roman" w:cs="Times New Roman"/>
          <w:b/>
          <w:bCs/>
          <w:sz w:val="22"/>
          <w:szCs w:val="22"/>
        </w:rPr>
      </w:pPr>
      <w:r>
        <w:rPr>
          <w:rFonts w:ascii="Times New Roman" w:hAnsi="Times New Roman"/>
          <w:b/>
          <w:bCs/>
          <w:sz w:val="22"/>
          <w:szCs w:val="22"/>
        </w:rPr>
        <w:t>For Immediate Release</w:t>
      </w:r>
    </w:p>
    <w:p w14:paraId="1F58B4A6" w14:textId="77777777" w:rsidR="00066003" w:rsidRDefault="00066003">
      <w:pPr>
        <w:pStyle w:val="xxxxmsonormal"/>
        <w:shd w:val="clear" w:color="auto" w:fill="FFFFFF"/>
        <w:spacing w:before="0" w:after="0" w:line="264" w:lineRule="auto"/>
        <w:jc w:val="center"/>
        <w:rPr>
          <w:sz w:val="20"/>
          <w:szCs w:val="20"/>
        </w:rPr>
      </w:pPr>
    </w:p>
    <w:p w14:paraId="29170558" w14:textId="77777777" w:rsidR="00066003" w:rsidRDefault="00E70F86">
      <w:pPr>
        <w:pStyle w:val="NoSpacing"/>
        <w:spacing w:line="264" w:lineRule="auto"/>
        <w:jc w:val="center"/>
        <w:rPr>
          <w:rFonts w:ascii="Times New Roman" w:eastAsia="Times New Roman" w:hAnsi="Times New Roman" w:cs="Times New Roman"/>
          <w:b/>
          <w:bCs/>
          <w:color w:val="301033"/>
          <w:sz w:val="28"/>
          <w:szCs w:val="28"/>
        </w:rPr>
      </w:pPr>
      <w:r>
        <w:rPr>
          <w:rFonts w:ascii="Times New Roman" w:hAnsi="Times New Roman"/>
          <w:b/>
          <w:bCs/>
          <w:color w:val="301033"/>
          <w:sz w:val="28"/>
          <w:szCs w:val="28"/>
        </w:rPr>
        <w:t>IGDS Calls for Stronger Actions to Protect Children</w:t>
      </w:r>
    </w:p>
    <w:p w14:paraId="7334CDEB" w14:textId="77777777" w:rsidR="00066003" w:rsidRDefault="00E70F86">
      <w:pPr>
        <w:pStyle w:val="NoSpacing"/>
        <w:spacing w:line="264" w:lineRule="auto"/>
        <w:jc w:val="center"/>
        <w:rPr>
          <w:rFonts w:ascii="Times New Roman" w:eastAsia="Times New Roman" w:hAnsi="Times New Roman" w:cs="Times New Roman"/>
          <w:color w:val="301033"/>
          <w:sz w:val="28"/>
          <w:szCs w:val="28"/>
        </w:rPr>
      </w:pPr>
      <w:proofErr w:type="gramStart"/>
      <w:r>
        <w:rPr>
          <w:rFonts w:ascii="Times New Roman" w:hAnsi="Times New Roman"/>
          <w:b/>
          <w:bCs/>
          <w:color w:val="301033"/>
          <w:sz w:val="28"/>
          <w:szCs w:val="28"/>
        </w:rPr>
        <w:t>in</w:t>
      </w:r>
      <w:proofErr w:type="gramEnd"/>
      <w:r>
        <w:rPr>
          <w:rFonts w:ascii="Times New Roman" w:hAnsi="Times New Roman"/>
          <w:b/>
          <w:bCs/>
          <w:color w:val="301033"/>
          <w:sz w:val="28"/>
          <w:szCs w:val="28"/>
        </w:rPr>
        <w:t xml:space="preserve"> Homes and Other Places of Safety </w:t>
      </w:r>
    </w:p>
    <w:p w14:paraId="4BCC9F1D" w14:textId="77777777" w:rsidR="00066003" w:rsidRDefault="00066003">
      <w:pPr>
        <w:pStyle w:val="Default"/>
        <w:spacing w:before="0" w:line="264" w:lineRule="auto"/>
        <w:jc w:val="both"/>
        <w:rPr>
          <w:rFonts w:ascii="Times New Roman" w:eastAsia="Times New Roman" w:hAnsi="Times New Roman" w:cs="Times New Roman"/>
        </w:rPr>
      </w:pPr>
    </w:p>
    <w:p w14:paraId="0401075C" w14:textId="77777777" w:rsidR="00066003" w:rsidRDefault="00E70F86">
      <w:pPr>
        <w:pStyle w:val="Default"/>
        <w:spacing w:before="0" w:after="160" w:line="259" w:lineRule="auto"/>
        <w:ind w:right="720"/>
        <w:rPr>
          <w:rFonts w:ascii="Times New Roman" w:eastAsia="Times New Roman" w:hAnsi="Times New Roman" w:cs="Times New Roman"/>
          <w:b/>
          <w:bCs/>
          <w:sz w:val="22"/>
          <w:szCs w:val="22"/>
        </w:rPr>
      </w:pPr>
      <w:r>
        <w:rPr>
          <w:rFonts w:ascii="Times New Roman" w:hAnsi="Times New Roman"/>
          <w:b/>
          <w:bCs/>
          <w:sz w:val="22"/>
          <w:szCs w:val="22"/>
          <w:lang w:val="es-ES_tradnl"/>
        </w:rPr>
        <w:t xml:space="preserve">ST. AUGUSTINE, Trinidad and Tobago. </w:t>
      </w:r>
      <w:r>
        <w:rPr>
          <w:rFonts w:ascii="Times New Roman" w:hAnsi="Times New Roman"/>
          <w:b/>
          <w:bCs/>
          <w:sz w:val="22"/>
          <w:szCs w:val="22"/>
          <w:lang w:val="en-US"/>
        </w:rPr>
        <w:t xml:space="preserve">Wednesday 3 </w:t>
      </w:r>
      <w:proofErr w:type="gramStart"/>
      <w:r>
        <w:rPr>
          <w:rFonts w:ascii="Times New Roman" w:hAnsi="Times New Roman"/>
          <w:b/>
          <w:bCs/>
          <w:sz w:val="22"/>
          <w:szCs w:val="22"/>
          <w:lang w:val="en-US"/>
        </w:rPr>
        <w:t>May,</w:t>
      </w:r>
      <w:proofErr w:type="gramEnd"/>
      <w:r>
        <w:rPr>
          <w:rFonts w:ascii="Times New Roman" w:hAnsi="Times New Roman"/>
          <w:b/>
          <w:bCs/>
          <w:sz w:val="22"/>
          <w:szCs w:val="22"/>
          <w:lang w:val="en-US"/>
        </w:rPr>
        <w:t xml:space="preserve"> 2022</w:t>
      </w:r>
    </w:p>
    <w:p w14:paraId="36841682" w14:textId="77777777" w:rsidR="00066003" w:rsidRDefault="00E70F86">
      <w:pPr>
        <w:pStyle w:val="Default"/>
        <w:spacing w:before="0" w:line="264" w:lineRule="auto"/>
        <w:jc w:val="both"/>
        <w:rPr>
          <w:rFonts w:ascii="Times New Roman" w:eastAsia="Times New Roman" w:hAnsi="Times New Roman" w:cs="Times New Roman"/>
        </w:rPr>
      </w:pPr>
      <w:r>
        <w:rPr>
          <w:rFonts w:ascii="Times New Roman" w:hAnsi="Times New Roman"/>
          <w:lang w:val="en-US"/>
        </w:rPr>
        <w:t xml:space="preserve">The IGDS is deeply concerned about reports of children and young people who have been harmed and continue to experience high levels of insecurity within childcare residencies throughout Trinidad and Tobago. We call upon the State to act immediately on the </w:t>
      </w:r>
      <w:r>
        <w:rPr>
          <w:rFonts w:ascii="Times New Roman" w:hAnsi="Times New Roman"/>
        </w:rPr>
        <w:t>“</w:t>
      </w:r>
      <w:r>
        <w:rPr>
          <w:rFonts w:ascii="Times New Roman" w:hAnsi="Times New Roman"/>
          <w:lang w:val="en-US"/>
        </w:rPr>
        <w:t xml:space="preserve">Safeguarding Children in Community Residencies and Child Support </w:t>
      </w:r>
      <w:proofErr w:type="spellStart"/>
      <w:r>
        <w:rPr>
          <w:rFonts w:ascii="Times New Roman" w:hAnsi="Times New Roman"/>
          <w:lang w:val="en-US"/>
        </w:rPr>
        <w:t>Centres</w:t>
      </w:r>
      <w:proofErr w:type="spellEnd"/>
      <w:r>
        <w:rPr>
          <w:rFonts w:ascii="Times New Roman" w:hAnsi="Times New Roman"/>
          <w:lang w:val="en-US"/>
        </w:rPr>
        <w:t xml:space="preserve"> in Trinidad and Tobago</w:t>
      </w:r>
      <w:r>
        <w:rPr>
          <w:rFonts w:ascii="Times New Roman" w:hAnsi="Times New Roman"/>
        </w:rPr>
        <w:t xml:space="preserve">” </w:t>
      </w:r>
      <w:r>
        <w:rPr>
          <w:rFonts w:ascii="Times New Roman" w:hAnsi="Times New Roman"/>
          <w:lang w:val="en-US"/>
        </w:rPr>
        <w:t xml:space="preserve">Report and to urgently follow through on the report's recommendations. We remind the Government that this latest report </w:t>
      </w:r>
      <w:r>
        <w:rPr>
          <w:rFonts w:ascii="Times New Roman" w:hAnsi="Times New Roman"/>
        </w:rPr>
        <w:t xml:space="preserve">– </w:t>
      </w:r>
      <w:r>
        <w:rPr>
          <w:rFonts w:ascii="Times New Roman" w:hAnsi="Times New Roman"/>
          <w:lang w:val="en-US"/>
        </w:rPr>
        <w:t>submitted in December 2021 to the Mi</w:t>
      </w:r>
      <w:r>
        <w:rPr>
          <w:rFonts w:ascii="Times New Roman" w:hAnsi="Times New Roman"/>
          <w:lang w:val="en-US"/>
        </w:rPr>
        <w:t xml:space="preserve">nister of Gender and Child Affairs, released to the public on 28 April 2022 </w:t>
      </w:r>
      <w:r>
        <w:rPr>
          <w:rFonts w:ascii="Times New Roman" w:hAnsi="Times New Roman"/>
        </w:rPr>
        <w:t xml:space="preserve">– </w:t>
      </w:r>
      <w:r>
        <w:rPr>
          <w:rFonts w:ascii="Times New Roman" w:hAnsi="Times New Roman"/>
          <w:lang w:val="en-US"/>
        </w:rPr>
        <w:t xml:space="preserve">is yet another in a long list of reports on the status of children in state-funded and privately-operated homes for over two decades. </w:t>
      </w:r>
    </w:p>
    <w:p w14:paraId="04605B03" w14:textId="77777777" w:rsidR="00066003" w:rsidRDefault="00066003">
      <w:pPr>
        <w:pStyle w:val="Default"/>
        <w:spacing w:before="0" w:line="264" w:lineRule="auto"/>
        <w:jc w:val="both"/>
        <w:rPr>
          <w:rFonts w:ascii="Times New Roman" w:eastAsia="Times New Roman" w:hAnsi="Times New Roman" w:cs="Times New Roman"/>
        </w:rPr>
      </w:pPr>
    </w:p>
    <w:p w14:paraId="7F903723" w14:textId="77777777" w:rsidR="00066003" w:rsidRDefault="00E70F86">
      <w:pPr>
        <w:pStyle w:val="Default"/>
        <w:spacing w:before="0" w:line="264" w:lineRule="auto"/>
        <w:jc w:val="both"/>
        <w:rPr>
          <w:rFonts w:ascii="Times New Roman" w:eastAsia="Times New Roman" w:hAnsi="Times New Roman" w:cs="Times New Roman"/>
        </w:rPr>
      </w:pPr>
      <w:r>
        <w:rPr>
          <w:rFonts w:ascii="Times New Roman" w:hAnsi="Times New Roman"/>
          <w:lang w:val="en-US"/>
        </w:rPr>
        <w:t>The IGDS has long produced research on the</w:t>
      </w:r>
      <w:r>
        <w:rPr>
          <w:rFonts w:ascii="Times New Roman" w:hAnsi="Times New Roman"/>
          <w:lang w:val="en-US"/>
        </w:rPr>
        <w:t xml:space="preserve"> issues of Child Sexual Abuse in Trinidad and Tobago and continues to offer trainings and public information emerging from the action-research project </w:t>
      </w:r>
      <w:r>
        <w:rPr>
          <w:rFonts w:ascii="Times New Roman" w:hAnsi="Times New Roman"/>
        </w:rPr>
        <w:t>““</w:t>
      </w:r>
      <w:r>
        <w:rPr>
          <w:rFonts w:ascii="Times New Roman" w:hAnsi="Times New Roman"/>
          <w:b/>
          <w:bCs/>
          <w:lang w:val="en-US"/>
        </w:rPr>
        <w:t>Breaking the Silence (BTS): Child Sexual Abuse and Incest: A Multi-</w:t>
      </w:r>
      <w:proofErr w:type="spellStart"/>
      <w:r>
        <w:rPr>
          <w:rFonts w:ascii="Times New Roman" w:hAnsi="Times New Roman"/>
          <w:b/>
          <w:bCs/>
          <w:lang w:val="en-US"/>
        </w:rPr>
        <w:t>Sectoral</w:t>
      </w:r>
      <w:proofErr w:type="spellEnd"/>
      <w:r>
        <w:rPr>
          <w:rFonts w:ascii="Times New Roman" w:hAnsi="Times New Roman"/>
          <w:b/>
          <w:bCs/>
          <w:lang w:val="en-US"/>
        </w:rPr>
        <w:t xml:space="preserve"> Approach</w:t>
      </w:r>
      <w:r>
        <w:rPr>
          <w:rFonts w:ascii="Times New Roman" w:hAnsi="Times New Roman"/>
          <w:b/>
          <w:bCs/>
        </w:rPr>
        <w:t xml:space="preserve">” </w:t>
      </w:r>
      <w:r>
        <w:rPr>
          <w:rFonts w:ascii="Times New Roman" w:hAnsi="Times New Roman"/>
          <w:lang w:val="en-US"/>
        </w:rPr>
        <w:t>(2008-2012). A fu</w:t>
      </w:r>
      <w:r>
        <w:rPr>
          <w:rFonts w:ascii="Times New Roman" w:hAnsi="Times New Roman"/>
          <w:lang w:val="en-US"/>
        </w:rPr>
        <w:t>ndamental driver of this project was the need to challenge prevailing attitudes and perceptions of CSA within Trinidad and Tobago. The project was initiated in response to concerns expressed by a wide range of stakeholders throughout Trinidad and Tobago, w</w:t>
      </w:r>
      <w:r>
        <w:rPr>
          <w:rFonts w:ascii="Times New Roman" w:hAnsi="Times New Roman"/>
          <w:lang w:val="en-US"/>
        </w:rPr>
        <w:t>ho acknowledged child sexual abuse</w:t>
      </w:r>
      <w:r>
        <w:rPr>
          <w:rFonts w:ascii="Times New Roman" w:hAnsi="Times New Roman"/>
        </w:rPr>
        <w:t>’</w:t>
      </w:r>
      <w:r>
        <w:rPr>
          <w:rFonts w:ascii="Times New Roman" w:hAnsi="Times New Roman"/>
          <w:lang w:val="en-US"/>
        </w:rPr>
        <w:t>s taboo character and diverse beliefs about it across local communities. The project noted the inaction and assumed tolerance of child sexual abuse, and demanded that the situation be researched and unearthed. The ongoing work of the project includes teach</w:t>
      </w:r>
      <w:r>
        <w:rPr>
          <w:rFonts w:ascii="Times New Roman" w:hAnsi="Times New Roman"/>
          <w:lang w:val="en-US"/>
        </w:rPr>
        <w:t xml:space="preserve">er training, development of BTS toolkits, public information sessions, and capacity building with civil society and faith-based </w:t>
      </w:r>
      <w:proofErr w:type="spellStart"/>
      <w:r>
        <w:rPr>
          <w:rFonts w:ascii="Times New Roman" w:hAnsi="Times New Roman"/>
          <w:lang w:val="en-US"/>
        </w:rPr>
        <w:t>organisations</w:t>
      </w:r>
      <w:proofErr w:type="spellEnd"/>
      <w:r>
        <w:rPr>
          <w:rFonts w:ascii="Times New Roman" w:hAnsi="Times New Roman"/>
          <w:lang w:val="en-US"/>
        </w:rPr>
        <w:t xml:space="preserve">. </w:t>
      </w:r>
    </w:p>
    <w:p w14:paraId="5AA02AA1" w14:textId="77777777" w:rsidR="00066003" w:rsidRDefault="00066003">
      <w:pPr>
        <w:pStyle w:val="Default"/>
        <w:spacing w:before="0" w:line="264" w:lineRule="auto"/>
        <w:jc w:val="both"/>
        <w:rPr>
          <w:rFonts w:ascii="Times New Roman" w:eastAsia="Times New Roman" w:hAnsi="Times New Roman" w:cs="Times New Roman"/>
        </w:rPr>
      </w:pPr>
    </w:p>
    <w:p w14:paraId="4D905880" w14:textId="77777777" w:rsidR="00066003" w:rsidRDefault="00E70F86">
      <w:pPr>
        <w:pStyle w:val="Default"/>
        <w:spacing w:before="0" w:line="264" w:lineRule="auto"/>
        <w:jc w:val="both"/>
        <w:rPr>
          <w:rFonts w:ascii="Times New Roman" w:eastAsia="Times New Roman" w:hAnsi="Times New Roman" w:cs="Times New Roman"/>
        </w:rPr>
      </w:pPr>
      <w:r>
        <w:rPr>
          <w:rFonts w:ascii="Times New Roman" w:hAnsi="Times New Roman"/>
          <w:lang w:val="en-US"/>
        </w:rPr>
        <w:t xml:space="preserve">Emeritus Professor Rhoda </w:t>
      </w:r>
      <w:proofErr w:type="spellStart"/>
      <w:r>
        <w:rPr>
          <w:rFonts w:ascii="Times New Roman" w:hAnsi="Times New Roman"/>
          <w:lang w:val="en-US"/>
        </w:rPr>
        <w:t>Reddock</w:t>
      </w:r>
      <w:proofErr w:type="spellEnd"/>
      <w:r>
        <w:rPr>
          <w:rFonts w:ascii="Times New Roman" w:hAnsi="Times New Roman"/>
          <w:lang w:val="en-US"/>
        </w:rPr>
        <w:t xml:space="preserve"> was the project lead researcher of Break The Silence: </w:t>
      </w:r>
      <w:r>
        <w:rPr>
          <w:rFonts w:ascii="Times New Roman" w:hAnsi="Times New Roman"/>
        </w:rPr>
        <w:t>“</w:t>
      </w:r>
      <w:r>
        <w:rPr>
          <w:rFonts w:ascii="Times New Roman" w:hAnsi="Times New Roman"/>
          <w:lang w:val="en-US"/>
        </w:rPr>
        <w:t>One of the earliest int</w:t>
      </w:r>
      <w:r>
        <w:rPr>
          <w:rFonts w:ascii="Times New Roman" w:hAnsi="Times New Roman"/>
          <w:lang w:val="en-US"/>
        </w:rPr>
        <w:t>erventions of the BTS campaign was with the then nascent Children's Authority which resulted in the inclusion of child sexual abuse as reportable category in the Authority. As a result, we are now able to track the enormity of this challenge.</w:t>
      </w:r>
      <w:r>
        <w:rPr>
          <w:rFonts w:ascii="Times New Roman" w:hAnsi="Times New Roman"/>
        </w:rPr>
        <w:t xml:space="preserve">” </w:t>
      </w:r>
    </w:p>
    <w:p w14:paraId="35A00390" w14:textId="77777777" w:rsidR="00066003" w:rsidRDefault="00066003">
      <w:pPr>
        <w:pStyle w:val="Default"/>
        <w:spacing w:before="0" w:line="264" w:lineRule="auto"/>
        <w:jc w:val="both"/>
        <w:rPr>
          <w:rFonts w:ascii="Times New Roman" w:eastAsia="Times New Roman" w:hAnsi="Times New Roman" w:cs="Times New Roman"/>
        </w:rPr>
      </w:pPr>
    </w:p>
    <w:p w14:paraId="56B575B7" w14:textId="77777777" w:rsidR="00066003" w:rsidRDefault="00E70F86">
      <w:pPr>
        <w:pStyle w:val="Default"/>
        <w:spacing w:before="0" w:line="264" w:lineRule="auto"/>
        <w:jc w:val="both"/>
        <w:rPr>
          <w:rFonts w:ascii="Times New Roman" w:eastAsia="Times New Roman" w:hAnsi="Times New Roman" w:cs="Times New Roman"/>
        </w:rPr>
      </w:pPr>
      <w:r>
        <w:rPr>
          <w:rFonts w:ascii="Times New Roman" w:hAnsi="Times New Roman"/>
          <w:lang w:val="en-US"/>
        </w:rPr>
        <w:t>The 2021 r</w:t>
      </w:r>
      <w:r>
        <w:rPr>
          <w:rFonts w:ascii="Times New Roman" w:hAnsi="Times New Roman"/>
          <w:lang w:val="en-US"/>
        </w:rPr>
        <w:t>eport uncovers the pressing need for state oversight and the need for greater accountability and multi-</w:t>
      </w:r>
      <w:proofErr w:type="spellStart"/>
      <w:r>
        <w:rPr>
          <w:rFonts w:ascii="Times New Roman" w:hAnsi="Times New Roman"/>
          <w:lang w:val="en-US"/>
        </w:rPr>
        <w:t>sectoral</w:t>
      </w:r>
      <w:proofErr w:type="spellEnd"/>
      <w:r>
        <w:rPr>
          <w:rFonts w:ascii="Times New Roman" w:hAnsi="Times New Roman"/>
          <w:lang w:val="en-US"/>
        </w:rPr>
        <w:t xml:space="preserve"> approach to meet the needs of children (particularly those in vulnerable situations). </w:t>
      </w:r>
    </w:p>
    <w:p w14:paraId="0A71D57C" w14:textId="77777777" w:rsidR="00066003" w:rsidRDefault="00066003">
      <w:pPr>
        <w:pStyle w:val="Default"/>
        <w:spacing w:before="0" w:line="264" w:lineRule="auto"/>
        <w:jc w:val="both"/>
        <w:rPr>
          <w:rFonts w:ascii="Times New Roman" w:eastAsia="Times New Roman" w:hAnsi="Times New Roman" w:cs="Times New Roman"/>
          <w:b/>
          <w:bCs/>
        </w:rPr>
      </w:pPr>
    </w:p>
    <w:p w14:paraId="4C17AE05" w14:textId="77777777" w:rsidR="00066003" w:rsidRDefault="00E70F86">
      <w:pPr>
        <w:pStyle w:val="Default"/>
        <w:spacing w:before="0" w:line="264" w:lineRule="auto"/>
        <w:jc w:val="both"/>
        <w:rPr>
          <w:rFonts w:ascii="Times New Roman" w:eastAsia="Times New Roman" w:hAnsi="Times New Roman" w:cs="Times New Roman"/>
        </w:rPr>
      </w:pPr>
      <w:r>
        <w:rPr>
          <w:rFonts w:ascii="Times New Roman" w:hAnsi="Times New Roman"/>
          <w:b/>
          <w:bCs/>
          <w:lang w:val="en-US"/>
        </w:rPr>
        <w:t xml:space="preserve">The IGDS uses this opportunity to remind the Government </w:t>
      </w:r>
      <w:r>
        <w:rPr>
          <w:rFonts w:ascii="Times New Roman" w:hAnsi="Times New Roman"/>
          <w:b/>
          <w:bCs/>
          <w:lang w:val="en-US"/>
        </w:rPr>
        <w:t xml:space="preserve">of Trinidad and Tobago of the following related to the care of children: </w:t>
      </w:r>
      <w:r>
        <w:rPr>
          <w:rFonts w:ascii="Arial Unicode MS" w:eastAsia="Arial Unicode MS" w:hAnsi="Arial Unicode MS" w:cs="Arial Unicode MS"/>
        </w:rPr>
        <w:br/>
      </w:r>
    </w:p>
    <w:p w14:paraId="437BC398" w14:textId="77777777" w:rsidR="00066003" w:rsidRDefault="00E70F86">
      <w:pPr>
        <w:pStyle w:val="Default"/>
        <w:numPr>
          <w:ilvl w:val="0"/>
          <w:numId w:val="2"/>
        </w:numPr>
        <w:spacing w:before="0" w:line="264" w:lineRule="auto"/>
        <w:jc w:val="both"/>
        <w:rPr>
          <w:rFonts w:ascii="Times New Roman" w:hAnsi="Times New Roman"/>
          <w:lang w:val="en-US"/>
        </w:rPr>
      </w:pPr>
      <w:r>
        <w:rPr>
          <w:rFonts w:ascii="Times New Roman" w:hAnsi="Times New Roman"/>
          <w:lang w:val="en-US"/>
        </w:rPr>
        <w:t>In 2015, the responsibility for children</w:t>
      </w:r>
      <w:r>
        <w:rPr>
          <w:rFonts w:ascii="Times New Roman" w:hAnsi="Times New Roman"/>
        </w:rPr>
        <w:t>’</w:t>
      </w:r>
      <w:r>
        <w:rPr>
          <w:rFonts w:ascii="Times New Roman" w:hAnsi="Times New Roman"/>
          <w:lang w:val="en-US"/>
        </w:rPr>
        <w:t>s matters was removed from the Ministry of Social Development and Family Services to the Office of the Prime Minister (OPM). All matters rel</w:t>
      </w:r>
      <w:r>
        <w:rPr>
          <w:rFonts w:ascii="Times New Roman" w:hAnsi="Times New Roman"/>
          <w:lang w:val="en-US"/>
        </w:rPr>
        <w:t>ating to the Children</w:t>
      </w:r>
      <w:r>
        <w:rPr>
          <w:rFonts w:ascii="Times New Roman" w:hAnsi="Times New Roman"/>
        </w:rPr>
        <w:t>’</w:t>
      </w:r>
      <w:r>
        <w:rPr>
          <w:rFonts w:ascii="Times New Roman" w:hAnsi="Times New Roman"/>
          <w:lang w:val="en-US"/>
        </w:rPr>
        <w:t>s Authority, child development, children</w:t>
      </w:r>
      <w:r>
        <w:rPr>
          <w:rFonts w:ascii="Times New Roman" w:hAnsi="Times New Roman"/>
        </w:rPr>
        <w:t>’</w:t>
      </w:r>
      <w:r>
        <w:rPr>
          <w:rFonts w:ascii="Times New Roman" w:hAnsi="Times New Roman"/>
          <w:lang w:val="en-US"/>
        </w:rPr>
        <w:t>s homes, special needs children, community residences, orphanages and gender affairs were placed in the Gender and Child Affairs Division in the OPM with a Minister attached and the Prime Minis</w:t>
      </w:r>
      <w:r>
        <w:rPr>
          <w:rFonts w:ascii="Times New Roman" w:hAnsi="Times New Roman"/>
          <w:lang w:val="en-US"/>
        </w:rPr>
        <w:t xml:space="preserve">ter as the voice of the Ministry in Cabinet. </w:t>
      </w:r>
      <w:r>
        <w:rPr>
          <w:rFonts w:ascii="Arial Unicode MS" w:eastAsia="Arial Unicode MS" w:hAnsi="Arial Unicode MS" w:cs="Arial Unicode MS"/>
        </w:rPr>
        <w:br/>
      </w:r>
    </w:p>
    <w:p w14:paraId="7E0B6685" w14:textId="77777777" w:rsidR="00066003" w:rsidRDefault="00E70F86">
      <w:pPr>
        <w:pStyle w:val="Default"/>
        <w:numPr>
          <w:ilvl w:val="0"/>
          <w:numId w:val="2"/>
        </w:numPr>
        <w:spacing w:before="0" w:line="264" w:lineRule="auto"/>
        <w:jc w:val="both"/>
        <w:rPr>
          <w:rFonts w:ascii="Times New Roman" w:hAnsi="Times New Roman"/>
          <w:lang w:val="en-US"/>
        </w:rPr>
      </w:pPr>
      <w:r>
        <w:rPr>
          <w:rFonts w:ascii="Times New Roman" w:hAnsi="Times New Roman"/>
          <w:lang w:val="en-US"/>
        </w:rPr>
        <w:t xml:space="preserve">In 2015, the Child Protection Unit (CPU) was established within the T&amp;T Police Service. The role and function of the CPU are to investigate sexual offences or abuse, physical abuse, abandonment or neglect and </w:t>
      </w:r>
      <w:r>
        <w:rPr>
          <w:rFonts w:ascii="Times New Roman" w:hAnsi="Times New Roman"/>
          <w:lang w:val="en-US"/>
        </w:rPr>
        <w:t xml:space="preserve">ill treatment of all children. </w:t>
      </w:r>
      <w:r>
        <w:rPr>
          <w:rFonts w:ascii="Arial Unicode MS" w:eastAsia="Arial Unicode MS" w:hAnsi="Arial Unicode MS" w:cs="Arial Unicode MS"/>
        </w:rPr>
        <w:br/>
      </w:r>
    </w:p>
    <w:p w14:paraId="16690763" w14:textId="77777777" w:rsidR="00066003" w:rsidRDefault="00E70F86">
      <w:pPr>
        <w:pStyle w:val="Default"/>
        <w:numPr>
          <w:ilvl w:val="0"/>
          <w:numId w:val="2"/>
        </w:numPr>
        <w:spacing w:before="0" w:line="264" w:lineRule="auto"/>
        <w:jc w:val="both"/>
        <w:rPr>
          <w:rFonts w:ascii="Times New Roman" w:hAnsi="Times New Roman"/>
          <w:lang w:val="en-US"/>
        </w:rPr>
      </w:pPr>
      <w:r>
        <w:rPr>
          <w:rFonts w:ascii="Times New Roman" w:hAnsi="Times New Roman"/>
          <w:lang w:val="en-US"/>
        </w:rPr>
        <w:t>Within the CPU</w:t>
      </w:r>
      <w:r>
        <w:rPr>
          <w:rFonts w:ascii="Times New Roman" w:hAnsi="Times New Roman"/>
        </w:rPr>
        <w:t>’</w:t>
      </w:r>
      <w:r>
        <w:rPr>
          <w:rFonts w:ascii="Times New Roman" w:hAnsi="Times New Roman"/>
          <w:lang w:val="en-US"/>
        </w:rPr>
        <w:t xml:space="preserve">s first year of operation, a significant proportion of the 2,595 reports investigated involved sexual abuse, abandonment, and neglect. </w:t>
      </w:r>
      <w:r>
        <w:rPr>
          <w:rFonts w:ascii="Arial Unicode MS" w:eastAsia="Arial Unicode MS" w:hAnsi="Arial Unicode MS" w:cs="Arial Unicode MS"/>
        </w:rPr>
        <w:br/>
      </w:r>
    </w:p>
    <w:p w14:paraId="564D193C" w14:textId="77777777" w:rsidR="00066003" w:rsidRDefault="00E70F86">
      <w:pPr>
        <w:pStyle w:val="Default"/>
        <w:numPr>
          <w:ilvl w:val="0"/>
          <w:numId w:val="2"/>
        </w:numPr>
        <w:spacing w:before="0" w:line="264" w:lineRule="auto"/>
        <w:jc w:val="both"/>
        <w:rPr>
          <w:rFonts w:ascii="Times New Roman" w:hAnsi="Times New Roman"/>
          <w:lang w:val="en-US"/>
        </w:rPr>
      </w:pPr>
      <w:r>
        <w:rPr>
          <w:rFonts w:ascii="Times New Roman" w:hAnsi="Times New Roman"/>
          <w:lang w:val="en-US"/>
        </w:rPr>
        <w:t xml:space="preserve">The </w:t>
      </w:r>
      <w:r>
        <w:rPr>
          <w:rFonts w:ascii="Times New Roman" w:hAnsi="Times New Roman"/>
        </w:rPr>
        <w:t>‘</w:t>
      </w:r>
      <w:r>
        <w:rPr>
          <w:rFonts w:ascii="Times New Roman" w:hAnsi="Times New Roman"/>
          <w:lang w:val="en-US"/>
        </w:rPr>
        <w:t xml:space="preserve">2017 Social Sector Investment </w:t>
      </w:r>
      <w:proofErr w:type="spellStart"/>
      <w:r>
        <w:rPr>
          <w:rFonts w:ascii="Times New Roman" w:hAnsi="Times New Roman"/>
          <w:lang w:val="en-US"/>
        </w:rPr>
        <w:t>Programme</w:t>
      </w:r>
      <w:proofErr w:type="spellEnd"/>
      <w:r>
        <w:rPr>
          <w:rFonts w:ascii="Times New Roman" w:hAnsi="Times New Roman"/>
        </w:rPr>
        <w:t>’</w:t>
      </w:r>
      <w:r>
        <w:rPr>
          <w:rFonts w:ascii="Times New Roman" w:hAnsi="Times New Roman"/>
          <w:lang w:val="en-US"/>
        </w:rPr>
        <w:t>, among the nine initiativ</w:t>
      </w:r>
      <w:r>
        <w:rPr>
          <w:rFonts w:ascii="Times New Roman" w:hAnsi="Times New Roman"/>
          <w:lang w:val="en-US"/>
        </w:rPr>
        <w:t xml:space="preserve">es identified for the fiscal year 2017 was a government promise to invest in the </w:t>
      </w:r>
      <w:proofErr w:type="spellStart"/>
      <w:r>
        <w:rPr>
          <w:rFonts w:ascii="Times New Roman" w:hAnsi="Times New Roman"/>
          <w:lang w:val="en-US"/>
        </w:rPr>
        <w:t>modernisation</w:t>
      </w:r>
      <w:proofErr w:type="spellEnd"/>
      <w:r>
        <w:rPr>
          <w:rFonts w:ascii="Times New Roman" w:hAnsi="Times New Roman"/>
          <w:lang w:val="en-US"/>
        </w:rPr>
        <w:t xml:space="preserve"> of St Mary</w:t>
      </w:r>
      <w:r>
        <w:rPr>
          <w:rFonts w:ascii="Times New Roman" w:hAnsi="Times New Roman"/>
        </w:rPr>
        <w:t>’</w:t>
      </w:r>
      <w:r>
        <w:rPr>
          <w:rFonts w:ascii="Times New Roman" w:hAnsi="Times New Roman"/>
          <w:lang w:val="en-US"/>
        </w:rPr>
        <w:t>s Children</w:t>
      </w:r>
      <w:r>
        <w:rPr>
          <w:rFonts w:ascii="Times New Roman" w:hAnsi="Times New Roman"/>
        </w:rPr>
        <w:t>’</w:t>
      </w:r>
      <w:r>
        <w:rPr>
          <w:rFonts w:ascii="Times New Roman" w:hAnsi="Times New Roman"/>
          <w:lang w:val="en-US"/>
        </w:rPr>
        <w:t xml:space="preserve">s Home as well as policy and research initiatives. </w:t>
      </w:r>
      <w:r>
        <w:rPr>
          <w:rFonts w:ascii="Arial Unicode MS" w:eastAsia="Arial Unicode MS" w:hAnsi="Arial Unicode MS" w:cs="Arial Unicode MS"/>
        </w:rPr>
        <w:br/>
      </w:r>
    </w:p>
    <w:p w14:paraId="66CDFC72" w14:textId="77777777" w:rsidR="00066003" w:rsidRDefault="00066003">
      <w:pPr>
        <w:pStyle w:val="Default"/>
        <w:spacing w:before="0" w:line="264" w:lineRule="auto"/>
        <w:jc w:val="both"/>
        <w:rPr>
          <w:rFonts w:ascii="Times New Roman" w:eastAsia="Times New Roman" w:hAnsi="Times New Roman" w:cs="Times New Roman"/>
        </w:rPr>
      </w:pPr>
    </w:p>
    <w:p w14:paraId="075A7F9A" w14:textId="77777777" w:rsidR="00066003" w:rsidRDefault="00E70F86">
      <w:pPr>
        <w:pStyle w:val="Default"/>
        <w:spacing w:before="0" w:line="264" w:lineRule="auto"/>
        <w:jc w:val="both"/>
        <w:rPr>
          <w:rFonts w:ascii="Times New Roman" w:eastAsia="Times New Roman" w:hAnsi="Times New Roman" w:cs="Times New Roman"/>
        </w:rPr>
      </w:pPr>
      <w:r>
        <w:rPr>
          <w:rFonts w:ascii="Times New Roman" w:hAnsi="Times New Roman"/>
          <w:lang w:val="en-US"/>
        </w:rPr>
        <w:t>We call on the Hon Minister to share with the national community what has happened be</w:t>
      </w:r>
      <w:r>
        <w:rPr>
          <w:rFonts w:ascii="Times New Roman" w:hAnsi="Times New Roman"/>
          <w:lang w:val="en-US"/>
        </w:rPr>
        <w:t xml:space="preserve">tween 2015 and now in responding to the needs of children in care facilities nationally. We call for a clear statement of the actions taken to respond to the needs of children in care facilities. In addition to an update on the formation of a </w:t>
      </w:r>
      <w:proofErr w:type="gramStart"/>
      <w:r>
        <w:rPr>
          <w:rFonts w:ascii="Times New Roman" w:hAnsi="Times New Roman"/>
          <w:lang w:val="en-US"/>
        </w:rPr>
        <w:t>task-force</w:t>
      </w:r>
      <w:proofErr w:type="gramEnd"/>
      <w:r>
        <w:rPr>
          <w:rFonts w:ascii="Times New Roman" w:hAnsi="Times New Roman"/>
          <w:lang w:val="en-US"/>
        </w:rPr>
        <w:t xml:space="preserve"> an</w:t>
      </w:r>
      <w:r>
        <w:rPr>
          <w:rFonts w:ascii="Times New Roman" w:hAnsi="Times New Roman"/>
          <w:lang w:val="en-US"/>
        </w:rPr>
        <w:t xml:space="preserve">d action plan, we ask exactly how the task-force will respond to this latest report with immediate action and transparency. Further, in light of the complex and multifaceted nature of this challenge, the government ought to partner with civil society </w:t>
      </w:r>
      <w:proofErr w:type="spellStart"/>
      <w:r>
        <w:rPr>
          <w:rFonts w:ascii="Times New Roman" w:hAnsi="Times New Roman"/>
          <w:lang w:val="en-US"/>
        </w:rPr>
        <w:t>organ</w:t>
      </w:r>
      <w:r>
        <w:rPr>
          <w:rFonts w:ascii="Times New Roman" w:hAnsi="Times New Roman"/>
          <w:lang w:val="en-US"/>
        </w:rPr>
        <w:t>isations</w:t>
      </w:r>
      <w:proofErr w:type="spellEnd"/>
      <w:r>
        <w:rPr>
          <w:rFonts w:ascii="Times New Roman" w:hAnsi="Times New Roman"/>
          <w:lang w:val="en-US"/>
        </w:rPr>
        <w:t xml:space="preserve"> and a more diverse range of actors in the </w:t>
      </w:r>
      <w:proofErr w:type="gramStart"/>
      <w:r>
        <w:rPr>
          <w:rFonts w:ascii="Times New Roman" w:hAnsi="Times New Roman"/>
          <w:lang w:val="en-US"/>
        </w:rPr>
        <w:t>task-force</w:t>
      </w:r>
      <w:proofErr w:type="gramEnd"/>
      <w:r>
        <w:rPr>
          <w:rFonts w:ascii="Times New Roman" w:hAnsi="Times New Roman"/>
          <w:lang w:val="en-US"/>
        </w:rPr>
        <w:t xml:space="preserve">. Suitable representation of past residents of homes should be included in this </w:t>
      </w:r>
      <w:proofErr w:type="gramStart"/>
      <w:r>
        <w:rPr>
          <w:rFonts w:ascii="Times New Roman" w:hAnsi="Times New Roman"/>
          <w:lang w:val="en-US"/>
        </w:rPr>
        <w:t>task-force</w:t>
      </w:r>
      <w:proofErr w:type="gramEnd"/>
      <w:r>
        <w:rPr>
          <w:rFonts w:ascii="Times New Roman" w:hAnsi="Times New Roman"/>
          <w:lang w:val="en-US"/>
        </w:rPr>
        <w:t xml:space="preserve"> with related psycho-support services included and offered the past residents. We also insist that the ne</w:t>
      </w:r>
      <w:r>
        <w:rPr>
          <w:rFonts w:ascii="Times New Roman" w:hAnsi="Times New Roman"/>
          <w:lang w:val="en-US"/>
        </w:rPr>
        <w:t xml:space="preserve">w </w:t>
      </w:r>
      <w:r>
        <w:rPr>
          <w:rFonts w:ascii="Times New Roman" w:hAnsi="Times New Roman"/>
          <w:lang w:val="en-US"/>
        </w:rPr>
        <w:lastRenderedPageBreak/>
        <w:t xml:space="preserve">position of Children's Commissioner should </w:t>
      </w:r>
      <w:proofErr w:type="spellStart"/>
      <w:r>
        <w:rPr>
          <w:rFonts w:ascii="Times New Roman" w:hAnsi="Times New Roman"/>
          <w:lang w:val="en-US"/>
        </w:rPr>
        <w:t>prioritise</w:t>
      </w:r>
      <w:proofErr w:type="spellEnd"/>
      <w:r>
        <w:rPr>
          <w:rFonts w:ascii="Times New Roman" w:hAnsi="Times New Roman"/>
          <w:lang w:val="en-US"/>
        </w:rPr>
        <w:t xml:space="preserve"> requirements of clear qualifications, experience, and caring and </w:t>
      </w:r>
      <w:proofErr w:type="gramStart"/>
      <w:r>
        <w:rPr>
          <w:rFonts w:ascii="Times New Roman" w:hAnsi="Times New Roman"/>
          <w:lang w:val="en-US"/>
        </w:rPr>
        <w:t>human-rights</w:t>
      </w:r>
      <w:proofErr w:type="gramEnd"/>
      <w:r>
        <w:rPr>
          <w:rFonts w:ascii="Times New Roman" w:hAnsi="Times New Roman"/>
          <w:lang w:val="en-US"/>
        </w:rPr>
        <w:t xml:space="preserve"> approach to transformation. </w:t>
      </w:r>
    </w:p>
    <w:p w14:paraId="35DDF6C9" w14:textId="77777777" w:rsidR="00066003" w:rsidRDefault="00066003">
      <w:pPr>
        <w:pStyle w:val="Default"/>
        <w:tabs>
          <w:tab w:val="left" w:pos="220"/>
          <w:tab w:val="left" w:pos="720"/>
        </w:tabs>
        <w:spacing w:before="0" w:line="264" w:lineRule="auto"/>
        <w:jc w:val="both"/>
        <w:rPr>
          <w:rFonts w:ascii="Times New Roman" w:eastAsia="Times New Roman" w:hAnsi="Times New Roman" w:cs="Times New Roman"/>
        </w:rPr>
      </w:pPr>
    </w:p>
    <w:p w14:paraId="1F514D92" w14:textId="77777777" w:rsidR="00066003" w:rsidRDefault="00E70F86">
      <w:pPr>
        <w:pStyle w:val="Default"/>
        <w:tabs>
          <w:tab w:val="left" w:pos="220"/>
          <w:tab w:val="left" w:pos="720"/>
        </w:tabs>
        <w:spacing w:before="0" w:line="264" w:lineRule="auto"/>
        <w:jc w:val="both"/>
        <w:rPr>
          <w:rFonts w:ascii="Times New Roman" w:eastAsia="Times New Roman" w:hAnsi="Times New Roman" w:cs="Times New Roman"/>
        </w:rPr>
      </w:pPr>
      <w:r>
        <w:rPr>
          <w:rFonts w:ascii="Times New Roman" w:hAnsi="Times New Roman"/>
          <w:lang w:val="en-US"/>
        </w:rPr>
        <w:t xml:space="preserve">We also call for a holistic approach to children as part of a larger </w:t>
      </w:r>
      <w:proofErr w:type="spellStart"/>
      <w:r>
        <w:rPr>
          <w:rFonts w:ascii="Times New Roman" w:hAnsi="Times New Roman"/>
          <w:lang w:val="en-US"/>
        </w:rPr>
        <w:t>revitalisation</w:t>
      </w:r>
      <w:proofErr w:type="spellEnd"/>
      <w:r>
        <w:rPr>
          <w:rFonts w:ascii="Times New Roman" w:hAnsi="Times New Roman"/>
          <w:lang w:val="en-US"/>
        </w:rPr>
        <w:t xml:space="preserve"> of the social sector and social support systems in Trinidad and Tobago. In light of this, we stress the importance of supportive approaches to children, families, household</w:t>
      </w:r>
      <w:r>
        <w:rPr>
          <w:rFonts w:ascii="Times New Roman" w:hAnsi="Times New Roman"/>
          <w:lang w:val="en-US"/>
        </w:rPr>
        <w:t xml:space="preserve">s and communities to prevent them from ending up in these quasi systems of incarceration. We support calls for a strengthened student support system, the reintroduction of community social work, family social work and child social work </w:t>
      </w:r>
      <w:proofErr w:type="spellStart"/>
      <w:r>
        <w:rPr>
          <w:rFonts w:ascii="Times New Roman" w:hAnsi="Times New Roman"/>
          <w:lang w:val="en-US"/>
        </w:rPr>
        <w:t>programmes</w:t>
      </w:r>
      <w:proofErr w:type="spellEnd"/>
      <w:r>
        <w:rPr>
          <w:rFonts w:ascii="Times New Roman" w:hAnsi="Times New Roman"/>
          <w:lang w:val="en-US"/>
        </w:rPr>
        <w:t xml:space="preserve"> and stron</w:t>
      </w:r>
      <w:r>
        <w:rPr>
          <w:rFonts w:ascii="Times New Roman" w:hAnsi="Times New Roman"/>
          <w:lang w:val="en-US"/>
        </w:rPr>
        <w:t xml:space="preserve">g parent support </w:t>
      </w:r>
      <w:proofErr w:type="spellStart"/>
      <w:r>
        <w:rPr>
          <w:rFonts w:ascii="Times New Roman" w:hAnsi="Times New Roman"/>
          <w:lang w:val="en-US"/>
        </w:rPr>
        <w:t>programmes</w:t>
      </w:r>
      <w:proofErr w:type="spellEnd"/>
      <w:r>
        <w:rPr>
          <w:rFonts w:ascii="Times New Roman" w:hAnsi="Times New Roman"/>
          <w:lang w:val="en-US"/>
        </w:rPr>
        <w:t xml:space="preserve"> including gender-informed parenting education </w:t>
      </w:r>
      <w:proofErr w:type="spellStart"/>
      <w:r>
        <w:rPr>
          <w:rFonts w:ascii="Times New Roman" w:hAnsi="Times New Roman"/>
          <w:lang w:val="en-US"/>
        </w:rPr>
        <w:t>programmes</w:t>
      </w:r>
      <w:proofErr w:type="spellEnd"/>
      <w:r>
        <w:rPr>
          <w:rFonts w:ascii="Times New Roman" w:hAnsi="Times New Roman"/>
          <w:lang w:val="en-US"/>
        </w:rPr>
        <w:t xml:space="preserve">. </w:t>
      </w:r>
    </w:p>
    <w:p w14:paraId="0D1997A2" w14:textId="77777777" w:rsidR="00066003" w:rsidRDefault="00066003">
      <w:pPr>
        <w:pStyle w:val="Default"/>
        <w:tabs>
          <w:tab w:val="left" w:pos="220"/>
          <w:tab w:val="left" w:pos="720"/>
        </w:tabs>
        <w:spacing w:before="0" w:line="264" w:lineRule="auto"/>
        <w:jc w:val="both"/>
        <w:rPr>
          <w:rFonts w:ascii="Times New Roman" w:eastAsia="Times New Roman" w:hAnsi="Times New Roman" w:cs="Times New Roman"/>
        </w:rPr>
      </w:pPr>
    </w:p>
    <w:p w14:paraId="29DAE12B" w14:textId="77777777" w:rsidR="00066003" w:rsidRDefault="00E70F86">
      <w:pPr>
        <w:pStyle w:val="Default"/>
        <w:tabs>
          <w:tab w:val="left" w:pos="220"/>
          <w:tab w:val="left" w:pos="720"/>
        </w:tabs>
        <w:spacing w:before="0" w:line="264" w:lineRule="auto"/>
        <w:jc w:val="both"/>
        <w:rPr>
          <w:rFonts w:ascii="Times New Roman" w:eastAsia="Times New Roman" w:hAnsi="Times New Roman" w:cs="Times New Roman"/>
        </w:rPr>
      </w:pPr>
      <w:r>
        <w:rPr>
          <w:rFonts w:ascii="Times New Roman" w:hAnsi="Times New Roman"/>
          <w:lang w:val="en-US"/>
        </w:rPr>
        <w:t xml:space="preserve">From global evidence, young people are empowered through age-appropriate gender and sexuality education </w:t>
      </w:r>
      <w:proofErr w:type="spellStart"/>
      <w:r>
        <w:rPr>
          <w:rFonts w:ascii="Times New Roman" w:hAnsi="Times New Roman"/>
          <w:lang w:val="en-US"/>
        </w:rPr>
        <w:t>programmes</w:t>
      </w:r>
      <w:proofErr w:type="spellEnd"/>
      <w:r>
        <w:rPr>
          <w:rFonts w:ascii="Times New Roman" w:hAnsi="Times New Roman"/>
          <w:lang w:val="en-US"/>
        </w:rPr>
        <w:t xml:space="preserve"> in schools providing the knowledge and understanding </w:t>
      </w:r>
      <w:r>
        <w:rPr>
          <w:rFonts w:ascii="Times New Roman" w:hAnsi="Times New Roman"/>
          <w:lang w:val="en-US"/>
        </w:rPr>
        <w:t xml:space="preserve">to protect themselves and make better decisions. Substance abuse and addiction is a major challenge in this society and is a major contributing factor to child abuse and family violence. We call for the </w:t>
      </w:r>
      <w:proofErr w:type="spellStart"/>
      <w:r>
        <w:rPr>
          <w:rFonts w:ascii="Times New Roman" w:hAnsi="Times New Roman"/>
          <w:lang w:val="en-US"/>
        </w:rPr>
        <w:t>revitalisation</w:t>
      </w:r>
      <w:proofErr w:type="spellEnd"/>
      <w:r>
        <w:rPr>
          <w:rFonts w:ascii="Times New Roman" w:hAnsi="Times New Roman"/>
          <w:lang w:val="en-US"/>
        </w:rPr>
        <w:t xml:space="preserve"> of the National Alcohol and Drug Abuse</w:t>
      </w:r>
      <w:r>
        <w:rPr>
          <w:rFonts w:ascii="Times New Roman" w:hAnsi="Times New Roman"/>
          <w:lang w:val="en-US"/>
        </w:rPr>
        <w:t xml:space="preserve"> Prevention </w:t>
      </w:r>
      <w:proofErr w:type="spellStart"/>
      <w:r>
        <w:rPr>
          <w:rFonts w:ascii="Times New Roman" w:hAnsi="Times New Roman"/>
          <w:lang w:val="en-US"/>
        </w:rPr>
        <w:t>Programme</w:t>
      </w:r>
      <w:proofErr w:type="spellEnd"/>
      <w:r>
        <w:rPr>
          <w:rFonts w:ascii="Times New Roman" w:hAnsi="Times New Roman"/>
          <w:lang w:val="en-US"/>
        </w:rPr>
        <w:t xml:space="preserve"> and for pro-active addiction prevention and treatment </w:t>
      </w:r>
      <w:proofErr w:type="spellStart"/>
      <w:r>
        <w:rPr>
          <w:rFonts w:ascii="Times New Roman" w:hAnsi="Times New Roman"/>
          <w:lang w:val="en-US"/>
        </w:rPr>
        <w:t>programmes</w:t>
      </w:r>
      <w:proofErr w:type="spellEnd"/>
      <w:r>
        <w:rPr>
          <w:rFonts w:ascii="Times New Roman" w:hAnsi="Times New Roman"/>
          <w:lang w:val="en-US"/>
        </w:rPr>
        <w:t xml:space="preserve"> throughout the society. The costs of prevention are much lower than the costs of the pain, violence, and physical and other infrastructure that is required in its absenc</w:t>
      </w:r>
      <w:r>
        <w:rPr>
          <w:rFonts w:ascii="Times New Roman" w:hAnsi="Times New Roman"/>
          <w:lang w:val="en-US"/>
        </w:rPr>
        <w:t xml:space="preserve">e. </w:t>
      </w:r>
    </w:p>
    <w:p w14:paraId="4CFCF4C1" w14:textId="77777777" w:rsidR="00066003" w:rsidRDefault="00066003">
      <w:pPr>
        <w:pStyle w:val="Default"/>
        <w:tabs>
          <w:tab w:val="left" w:pos="220"/>
          <w:tab w:val="left" w:pos="720"/>
        </w:tabs>
        <w:spacing w:before="0" w:line="264" w:lineRule="auto"/>
        <w:jc w:val="both"/>
        <w:rPr>
          <w:rFonts w:ascii="Times New Roman" w:eastAsia="Times New Roman" w:hAnsi="Times New Roman" w:cs="Times New Roman"/>
        </w:rPr>
      </w:pPr>
    </w:p>
    <w:p w14:paraId="1F466A8E" w14:textId="77777777" w:rsidR="00066003" w:rsidRDefault="00E70F86">
      <w:pPr>
        <w:pStyle w:val="Default"/>
        <w:tabs>
          <w:tab w:val="left" w:pos="220"/>
          <w:tab w:val="left" w:pos="720"/>
        </w:tabs>
        <w:spacing w:before="0" w:line="264" w:lineRule="auto"/>
        <w:jc w:val="both"/>
        <w:rPr>
          <w:rFonts w:ascii="Times New Roman" w:eastAsia="Times New Roman" w:hAnsi="Times New Roman" w:cs="Times New Roman"/>
        </w:rPr>
      </w:pPr>
      <w:r>
        <w:rPr>
          <w:rFonts w:ascii="Times New Roman" w:hAnsi="Times New Roman"/>
          <w:lang w:val="en-US"/>
        </w:rPr>
        <w:t>Finally, there must be immediate response and action to protect the children currently in these homes, where contributing there are reports of repeat sexual offences and gender based violence occurring. Crucial to this protection is thorough investiga</w:t>
      </w:r>
      <w:r>
        <w:rPr>
          <w:rFonts w:ascii="Times New Roman" w:hAnsi="Times New Roman"/>
          <w:lang w:val="en-US"/>
        </w:rPr>
        <w:t xml:space="preserve">tion and accountability, along with retraining on human rights approaches to </w:t>
      </w:r>
      <w:proofErr w:type="gramStart"/>
      <w:r>
        <w:rPr>
          <w:rFonts w:ascii="Times New Roman" w:hAnsi="Times New Roman"/>
          <w:lang w:val="en-US"/>
        </w:rPr>
        <w:t>child care</w:t>
      </w:r>
      <w:proofErr w:type="gramEnd"/>
      <w:r>
        <w:rPr>
          <w:rFonts w:ascii="Times New Roman" w:hAnsi="Times New Roman"/>
          <w:lang w:val="en-US"/>
        </w:rPr>
        <w:t xml:space="preserve">, enhanced </w:t>
      </w:r>
      <w:proofErr w:type="spellStart"/>
      <w:r>
        <w:rPr>
          <w:rFonts w:ascii="Times New Roman" w:hAnsi="Times New Roman"/>
          <w:lang w:val="en-US"/>
        </w:rPr>
        <w:t>specialised</w:t>
      </w:r>
      <w:proofErr w:type="spellEnd"/>
      <w:r>
        <w:rPr>
          <w:rFonts w:ascii="Times New Roman" w:hAnsi="Times New Roman"/>
          <w:lang w:val="en-US"/>
        </w:rPr>
        <w:t xml:space="preserve"> psycho-social support, and sustained trauma interventions for children and young people.</w:t>
      </w:r>
    </w:p>
    <w:p w14:paraId="6B728647" w14:textId="77777777" w:rsidR="00066003" w:rsidRDefault="00066003">
      <w:pPr>
        <w:pStyle w:val="NoSpacing"/>
        <w:spacing w:line="264" w:lineRule="auto"/>
        <w:jc w:val="both"/>
        <w:rPr>
          <w:rFonts w:ascii="Times New Roman" w:eastAsia="Times New Roman" w:hAnsi="Times New Roman" w:cs="Times New Roman"/>
        </w:rPr>
      </w:pPr>
    </w:p>
    <w:p w14:paraId="23963094" w14:textId="77777777" w:rsidR="00066003" w:rsidRDefault="00E70F86">
      <w:pPr>
        <w:pStyle w:val="NormalWeb"/>
        <w:shd w:val="clear" w:color="auto" w:fill="FFFFFF"/>
        <w:spacing w:before="0" w:after="0" w:line="264" w:lineRule="auto"/>
        <w:jc w:val="center"/>
        <w:rPr>
          <w:sz w:val="22"/>
          <w:szCs w:val="22"/>
        </w:rPr>
      </w:pPr>
      <w:r>
        <w:rPr>
          <w:b/>
          <w:bCs/>
          <w:sz w:val="22"/>
          <w:szCs w:val="22"/>
        </w:rPr>
        <w:t>END</w:t>
      </w:r>
    </w:p>
    <w:p w14:paraId="53D26F10" w14:textId="77777777" w:rsidR="00066003" w:rsidRDefault="00066003">
      <w:pPr>
        <w:pStyle w:val="NormalWeb"/>
        <w:shd w:val="clear" w:color="auto" w:fill="FFFFFF"/>
        <w:spacing w:before="0" w:after="0"/>
        <w:jc w:val="both"/>
        <w:rPr>
          <w:rFonts w:ascii="Cambria" w:eastAsia="Cambria" w:hAnsi="Cambria" w:cs="Cambria"/>
          <w:b/>
          <w:bCs/>
          <w:i/>
          <w:iCs/>
          <w:sz w:val="22"/>
          <w:szCs w:val="22"/>
        </w:rPr>
      </w:pPr>
    </w:p>
    <w:p w14:paraId="4AFB95B9" w14:textId="77777777" w:rsidR="00066003" w:rsidRDefault="00066003">
      <w:pPr>
        <w:pStyle w:val="NormalWeb"/>
        <w:shd w:val="clear" w:color="auto" w:fill="FFFFFF"/>
        <w:spacing w:before="0" w:after="0"/>
        <w:jc w:val="both"/>
        <w:rPr>
          <w:rFonts w:ascii="Cambria" w:eastAsia="Cambria" w:hAnsi="Cambria" w:cs="Cambria"/>
          <w:b/>
          <w:bCs/>
          <w:i/>
          <w:iCs/>
          <w:sz w:val="20"/>
          <w:szCs w:val="20"/>
        </w:rPr>
      </w:pPr>
    </w:p>
    <w:tbl>
      <w:tblPr>
        <w:tblW w:w="992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23"/>
      </w:tblGrid>
      <w:tr w:rsidR="00066003" w:rsidRPr="00E70F86" w14:paraId="60A1D0F6" w14:textId="77777777">
        <w:trPr>
          <w:trHeight w:val="1240"/>
        </w:trPr>
        <w:tc>
          <w:tcPr>
            <w:tcW w:w="9923" w:type="dxa"/>
            <w:tcBorders>
              <w:top w:val="nil"/>
              <w:left w:val="nil"/>
              <w:bottom w:val="nil"/>
              <w:right w:val="nil"/>
            </w:tcBorders>
            <w:shd w:val="clear" w:color="auto" w:fill="300F33"/>
            <w:tcMar>
              <w:top w:w="80" w:type="dxa"/>
              <w:left w:w="80" w:type="dxa"/>
              <w:bottom w:w="80" w:type="dxa"/>
              <w:right w:w="80" w:type="dxa"/>
            </w:tcMar>
            <w:vAlign w:val="center"/>
          </w:tcPr>
          <w:p w14:paraId="30ABBD0A" w14:textId="77777777" w:rsidR="00066003" w:rsidRPr="00E70F86" w:rsidRDefault="00066003">
            <w:pPr>
              <w:pStyle w:val="Body"/>
              <w:spacing w:after="0" w:line="252" w:lineRule="auto"/>
              <w:jc w:val="center"/>
              <w:rPr>
                <w:rFonts w:ascii="Times New Roman" w:eastAsia="Times New Roman" w:hAnsi="Times New Roman" w:cs="Times New Roman"/>
                <w:color w:val="FFFFFF" w:themeColor="background1"/>
                <w:sz w:val="18"/>
                <w:szCs w:val="18"/>
              </w:rPr>
            </w:pPr>
          </w:p>
          <w:p w14:paraId="477FF283" w14:textId="77777777" w:rsidR="00066003" w:rsidRPr="00E70F86" w:rsidRDefault="00E70F86">
            <w:pPr>
              <w:pStyle w:val="Body"/>
              <w:spacing w:after="0" w:line="252" w:lineRule="auto"/>
              <w:jc w:val="center"/>
              <w:rPr>
                <w:rFonts w:ascii="Times New Roman" w:eastAsia="Times New Roman" w:hAnsi="Times New Roman" w:cs="Times New Roman"/>
                <w:b/>
                <w:bCs/>
                <w:color w:val="FFFFFF" w:themeColor="background1"/>
                <w:sz w:val="18"/>
                <w:szCs w:val="18"/>
              </w:rPr>
            </w:pPr>
            <w:r w:rsidRPr="00E70F86">
              <w:rPr>
                <w:rFonts w:ascii="Times New Roman" w:hAnsi="Times New Roman"/>
                <w:b/>
                <w:bCs/>
                <w:color w:val="FFFFFF" w:themeColor="background1"/>
                <w:sz w:val="18"/>
                <w:szCs w:val="18"/>
                <w:lang w:val="en-US"/>
              </w:rPr>
              <w:t>Institute for Gender and Development Studies</w:t>
            </w:r>
          </w:p>
          <w:p w14:paraId="1287692E" w14:textId="77777777" w:rsidR="00066003" w:rsidRPr="00E70F86" w:rsidRDefault="00E70F86">
            <w:pPr>
              <w:pStyle w:val="Body"/>
              <w:spacing w:after="0" w:line="252" w:lineRule="auto"/>
              <w:jc w:val="center"/>
              <w:rPr>
                <w:rFonts w:ascii="Times New Roman" w:eastAsia="Times New Roman" w:hAnsi="Times New Roman" w:cs="Times New Roman"/>
                <w:b/>
                <w:bCs/>
                <w:color w:val="FFFFFF" w:themeColor="background1"/>
                <w:sz w:val="18"/>
                <w:szCs w:val="18"/>
              </w:rPr>
            </w:pPr>
            <w:r w:rsidRPr="00E70F86">
              <w:rPr>
                <w:rFonts w:ascii="Times New Roman" w:hAnsi="Times New Roman"/>
                <w:b/>
                <w:bCs/>
                <w:color w:val="FFFFFF" w:themeColor="background1"/>
                <w:sz w:val="18"/>
                <w:szCs w:val="18"/>
                <w:lang w:val="en-US"/>
              </w:rPr>
              <w:t xml:space="preserve">The </w:t>
            </w:r>
            <w:r w:rsidRPr="00E70F86">
              <w:rPr>
                <w:rFonts w:ascii="Times New Roman" w:hAnsi="Times New Roman"/>
                <w:b/>
                <w:bCs/>
                <w:color w:val="FFFFFF" w:themeColor="background1"/>
                <w:sz w:val="18"/>
                <w:szCs w:val="18"/>
                <w:lang w:val="en-US"/>
              </w:rPr>
              <w:t>University of the West Indies St. Augustine Campus</w:t>
            </w:r>
            <w:r w:rsidRPr="00E70F86">
              <w:rPr>
                <w:rFonts w:ascii="Times New Roman" w:hAnsi="Times New Roman"/>
                <w:b/>
                <w:bCs/>
                <w:color w:val="FFFFFF" w:themeColor="background1"/>
                <w:sz w:val="18"/>
                <w:szCs w:val="18"/>
                <w:lang w:val="en-US"/>
              </w:rPr>
              <w:t> • </w:t>
            </w:r>
            <w:r w:rsidRPr="00E70F86">
              <w:rPr>
                <w:rFonts w:ascii="Times New Roman" w:hAnsi="Times New Roman"/>
                <w:b/>
                <w:bCs/>
                <w:color w:val="FFFFFF" w:themeColor="background1"/>
                <w:sz w:val="18"/>
                <w:szCs w:val="18"/>
                <w:lang w:val="en-US"/>
              </w:rPr>
              <w:t>St. Augustine, Trinidad and Tobago</w:t>
            </w:r>
          </w:p>
          <w:p w14:paraId="6FDAB82A" w14:textId="77777777" w:rsidR="00066003" w:rsidRDefault="00E70F86">
            <w:pPr>
              <w:pStyle w:val="Body"/>
              <w:spacing w:after="0" w:line="252" w:lineRule="auto"/>
              <w:jc w:val="center"/>
              <w:rPr>
                <w:rFonts w:ascii="Times New Roman" w:eastAsia="Times New Roman" w:hAnsi="Times New Roman" w:cs="Times New Roman"/>
                <w:color w:val="FFFFFF" w:themeColor="background1"/>
                <w:sz w:val="18"/>
                <w:szCs w:val="18"/>
              </w:rPr>
            </w:pPr>
            <w:r w:rsidRPr="00E70F86">
              <w:rPr>
                <w:rFonts w:ascii="Times New Roman" w:hAnsi="Times New Roman"/>
                <w:b/>
                <w:bCs/>
                <w:color w:val="FFFFFF" w:themeColor="background1"/>
                <w:sz w:val="18"/>
                <w:szCs w:val="18"/>
                <w:lang w:val="en-US"/>
              </w:rPr>
              <w:t> </w:t>
            </w:r>
            <w:r w:rsidRPr="00E70F86">
              <w:rPr>
                <w:rFonts w:ascii="Times New Roman" w:hAnsi="Times New Roman"/>
                <w:b/>
                <w:bCs/>
                <w:color w:val="FFFFFF" w:themeColor="background1"/>
                <w:sz w:val="18"/>
                <w:szCs w:val="18"/>
                <w:lang w:val="en-US"/>
              </w:rPr>
              <w:t xml:space="preserve">Telephone: </w:t>
            </w:r>
            <w:r w:rsidRPr="00E70F86">
              <w:rPr>
                <w:rFonts w:ascii="Times New Roman" w:hAnsi="Times New Roman"/>
                <w:color w:val="FFFFFF" w:themeColor="background1"/>
                <w:sz w:val="18"/>
                <w:szCs w:val="18"/>
                <w:lang w:val="en-US"/>
              </w:rPr>
              <w:t xml:space="preserve">(868) 662-2002 </w:t>
            </w:r>
            <w:proofErr w:type="spellStart"/>
            <w:r w:rsidRPr="00E70F86">
              <w:rPr>
                <w:rFonts w:ascii="Times New Roman" w:hAnsi="Times New Roman"/>
                <w:color w:val="FFFFFF" w:themeColor="background1"/>
                <w:sz w:val="18"/>
                <w:szCs w:val="18"/>
                <w:lang w:val="en-US"/>
              </w:rPr>
              <w:t>Exts</w:t>
            </w:r>
            <w:proofErr w:type="spellEnd"/>
            <w:r w:rsidRPr="00E70F86">
              <w:rPr>
                <w:rFonts w:ascii="Times New Roman" w:hAnsi="Times New Roman"/>
                <w:color w:val="FFFFFF" w:themeColor="background1"/>
                <w:sz w:val="18"/>
                <w:szCs w:val="18"/>
                <w:lang w:val="en-US"/>
              </w:rPr>
              <w:t xml:space="preserve">. 83577 / 83572 / 82533          </w:t>
            </w:r>
            <w:r w:rsidRPr="00E70F86">
              <w:rPr>
                <w:rFonts w:ascii="Times New Roman" w:hAnsi="Times New Roman"/>
                <w:b/>
                <w:bCs/>
                <w:color w:val="FFFFFF" w:themeColor="background1"/>
                <w:sz w:val="18"/>
                <w:szCs w:val="18"/>
                <w:lang w:val="en-US"/>
              </w:rPr>
              <w:t>Email</w:t>
            </w:r>
            <w:proofErr w:type="gramStart"/>
            <w:r w:rsidRPr="00E70F86">
              <w:rPr>
                <w:rFonts w:ascii="Times New Roman" w:hAnsi="Times New Roman"/>
                <w:b/>
                <w:bCs/>
                <w:color w:val="FFFFFF" w:themeColor="background1"/>
                <w:sz w:val="18"/>
                <w:szCs w:val="18"/>
                <w:lang w:val="en-US"/>
              </w:rPr>
              <w:t xml:space="preserve">: </w:t>
            </w:r>
            <w:r w:rsidRPr="00E70F86">
              <w:rPr>
                <w:rFonts w:ascii="Times New Roman" w:hAnsi="Times New Roman"/>
                <w:color w:val="FFFFFF" w:themeColor="background1"/>
                <w:sz w:val="18"/>
                <w:szCs w:val="18"/>
              </w:rPr>
              <w:t> </w:t>
            </w:r>
            <w:proofErr w:type="gramEnd"/>
            <w:hyperlink r:id="rId9" w:history="1">
              <w:r w:rsidRPr="00E70F86">
                <w:rPr>
                  <w:rStyle w:val="Hyperlink0"/>
                  <w:rFonts w:ascii="Times New Roman" w:hAnsi="Times New Roman"/>
                  <w:color w:val="FFFFFF" w:themeColor="background1"/>
                  <w:sz w:val="18"/>
                  <w:szCs w:val="18"/>
                </w:rPr>
                <w:t>igds@sta.uwi.edu</w:t>
              </w:r>
            </w:hyperlink>
            <w:r w:rsidRPr="00E70F86">
              <w:rPr>
                <w:rFonts w:ascii="Arial Unicode MS" w:eastAsia="Arial Unicode MS" w:hAnsi="Arial Unicode MS" w:cs="Arial Unicode MS"/>
                <w:color w:val="FFFFFF" w:themeColor="background1"/>
                <w:sz w:val="18"/>
                <w:szCs w:val="18"/>
              </w:rPr>
              <w:br/>
            </w:r>
            <w:r w:rsidRPr="00E70F86">
              <w:rPr>
                <w:rFonts w:ascii="Times New Roman" w:hAnsi="Times New Roman"/>
                <w:b/>
                <w:bCs/>
                <w:color w:val="FFFFFF" w:themeColor="background1"/>
                <w:sz w:val="18"/>
                <w:szCs w:val="18"/>
                <w:lang w:val="en-US"/>
              </w:rPr>
              <w:t>Website:</w:t>
            </w:r>
            <w:r w:rsidRPr="00E70F86">
              <w:rPr>
                <w:rFonts w:ascii="Times New Roman" w:hAnsi="Times New Roman"/>
                <w:color w:val="FFFFFF" w:themeColor="background1"/>
                <w:sz w:val="18"/>
                <w:szCs w:val="18"/>
                <w:lang w:val="en-US"/>
              </w:rPr>
              <w:t xml:space="preserve"> </w:t>
            </w:r>
            <w:hyperlink r:id="rId10" w:history="1">
              <w:r w:rsidRPr="00E70F86">
                <w:rPr>
                  <w:rStyle w:val="Hyperlink0"/>
                  <w:rFonts w:ascii="Times New Roman" w:hAnsi="Times New Roman"/>
                  <w:color w:val="FFFFFF" w:themeColor="background1"/>
                  <w:sz w:val="18"/>
                  <w:szCs w:val="18"/>
                </w:rPr>
                <w:t>https://sta.uwi.edu/igds/</w:t>
              </w:r>
            </w:hyperlink>
          </w:p>
          <w:p w14:paraId="34D814C6" w14:textId="77777777" w:rsidR="00E70F86" w:rsidRPr="00E70F86" w:rsidRDefault="00E70F86">
            <w:pPr>
              <w:pStyle w:val="Body"/>
              <w:spacing w:after="0" w:line="252" w:lineRule="auto"/>
              <w:jc w:val="center"/>
              <w:rPr>
                <w:color w:val="FFFFFF" w:themeColor="background1"/>
              </w:rPr>
            </w:pPr>
          </w:p>
        </w:tc>
      </w:tr>
    </w:tbl>
    <w:p w14:paraId="3ADA4FD3" w14:textId="77777777" w:rsidR="00066003" w:rsidRPr="00E70F86" w:rsidRDefault="00066003">
      <w:pPr>
        <w:pStyle w:val="NormalWeb"/>
        <w:widowControl w:val="0"/>
        <w:shd w:val="clear" w:color="auto" w:fill="FFFFFF"/>
        <w:spacing w:before="0" w:after="0"/>
        <w:jc w:val="both"/>
        <w:rPr>
          <w:color w:val="FFFFFF" w:themeColor="background1"/>
        </w:rPr>
      </w:pPr>
      <w:bookmarkStart w:id="0" w:name="_GoBack"/>
      <w:bookmarkEnd w:id="0"/>
    </w:p>
    <w:sectPr w:rsidR="00066003" w:rsidRPr="00E70F86">
      <w:headerReference w:type="default" r:id="rId11"/>
      <w:footerReference w:type="default" r:id="rId12"/>
      <w:pgSz w:w="12240" w:h="15840"/>
      <w:pgMar w:top="1440" w:right="1440" w:bottom="1440" w:left="1440" w:header="570"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EEDC8" w14:textId="77777777" w:rsidR="00000000" w:rsidRDefault="00E70F86">
      <w:r>
        <w:separator/>
      </w:r>
    </w:p>
  </w:endnote>
  <w:endnote w:type="continuationSeparator" w:id="0">
    <w:p w14:paraId="680ABC6D" w14:textId="77777777" w:rsidR="00000000" w:rsidRDefault="00E7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ajan Pro">
    <w:panose1 w:val="02020502050506020301"/>
    <w:charset w:val="00"/>
    <w:family w:val="auto"/>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EC33" w14:textId="77777777" w:rsidR="00066003" w:rsidRDefault="00E70F86">
    <w:pPr>
      <w:pStyle w:val="Footer"/>
      <w:jc w:val="center"/>
    </w:pPr>
    <w:r>
      <w:rPr>
        <w:rFonts w:ascii="Cambria" w:hAnsi="Cambria"/>
      </w:rPr>
      <w:t xml:space="preserve">Page </w:t>
    </w:r>
    <w:r>
      <w:rPr>
        <w:rFonts w:ascii="Cambria" w:eastAsia="Cambria" w:hAnsi="Cambria" w:cs="Cambria"/>
      </w:rPr>
      <w:fldChar w:fldCharType="begin"/>
    </w:r>
    <w:r>
      <w:rPr>
        <w:rFonts w:ascii="Cambria" w:eastAsia="Cambria" w:hAnsi="Cambria" w:cs="Cambria"/>
      </w:rPr>
      <w:instrText xml:space="preserve"> PAGE </w:instrText>
    </w:r>
    <w:r>
      <w:rPr>
        <w:rFonts w:ascii="Cambria" w:eastAsia="Cambria" w:hAnsi="Cambria" w:cs="Cambria"/>
      </w:rPr>
      <w:fldChar w:fldCharType="separate"/>
    </w:r>
    <w:r>
      <w:rPr>
        <w:rFonts w:ascii="Cambria" w:eastAsia="Cambria" w:hAnsi="Cambria" w:cs="Cambria"/>
        <w:noProof/>
      </w:rPr>
      <w:t>1</w:t>
    </w:r>
    <w:r>
      <w:rPr>
        <w:rFonts w:ascii="Cambria" w:eastAsia="Cambria" w:hAnsi="Cambria" w:cs="Cambria"/>
      </w:rPr>
      <w:fldChar w:fldCharType="end"/>
    </w:r>
    <w:r>
      <w:rPr>
        <w:rFonts w:ascii="Cambria" w:hAnsi="Cambria"/>
      </w:rPr>
      <w:t xml:space="preserve"> of </w:t>
    </w:r>
    <w:r>
      <w:rPr>
        <w:rFonts w:ascii="Cambria" w:eastAsia="Cambria" w:hAnsi="Cambria" w:cs="Cambria"/>
      </w:rPr>
      <w:fldChar w:fldCharType="begin"/>
    </w:r>
    <w:r>
      <w:rPr>
        <w:rFonts w:ascii="Cambria" w:eastAsia="Cambria" w:hAnsi="Cambria" w:cs="Cambria"/>
      </w:rPr>
      <w:instrText xml:space="preserve"> NUMPAGES </w:instrText>
    </w:r>
    <w:r>
      <w:rPr>
        <w:rFonts w:ascii="Cambria" w:eastAsia="Cambria" w:hAnsi="Cambria" w:cs="Cambria"/>
      </w:rPr>
      <w:fldChar w:fldCharType="separate"/>
    </w:r>
    <w:r>
      <w:rPr>
        <w:rFonts w:ascii="Cambria" w:eastAsia="Cambria" w:hAnsi="Cambria" w:cs="Cambria"/>
        <w:noProof/>
      </w:rPr>
      <w:t>3</w:t>
    </w:r>
    <w:r>
      <w:rPr>
        <w:rFonts w:ascii="Cambria" w:eastAsia="Cambria" w:hAnsi="Cambria" w:cs="Cambri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90EF4" w14:textId="77777777" w:rsidR="00000000" w:rsidRDefault="00E70F86">
      <w:r>
        <w:separator/>
      </w:r>
    </w:p>
  </w:footnote>
  <w:footnote w:type="continuationSeparator" w:id="0">
    <w:p w14:paraId="06B0DB51" w14:textId="77777777" w:rsidR="00000000" w:rsidRDefault="00E70F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54768" w14:textId="77777777" w:rsidR="00066003" w:rsidRDefault="00066003">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6AC3"/>
    <w:multiLevelType w:val="hybridMultilevel"/>
    <w:tmpl w:val="90FA5EAE"/>
    <w:numStyleLink w:val="Bullet"/>
  </w:abstractNum>
  <w:abstractNum w:abstractNumId="1">
    <w:nsid w:val="20452E48"/>
    <w:multiLevelType w:val="hybridMultilevel"/>
    <w:tmpl w:val="90FA5EAE"/>
    <w:styleLink w:val="Bullet"/>
    <w:lvl w:ilvl="0" w:tplc="B658F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CDB38">
      <w:start w:val="1"/>
      <w:numFmt w:val="bullet"/>
      <w:suff w:val="nothing"/>
      <w:lvlText w:val="·"/>
      <w:lvlJc w:val="left"/>
      <w:pPr>
        <w:ind w:left="1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A9AA6498">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83E0A8A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D01C4586">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7654EDA8">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DFAC8E1A">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1B12E82E">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AFB09468">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6003"/>
    <w:rsid w:val="00066003"/>
    <w:rsid w:val="00E70F86"/>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3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T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p1">
    <w:name w:val="p1"/>
    <w:rPr>
      <w:rFonts w:ascii="Times Roman" w:hAnsi="Times Roman" w:cs="Arial Unicode MS"/>
      <w:color w:val="000000"/>
      <w:sz w:val="32"/>
      <w:szCs w:val="32"/>
      <w:u w:color="000000"/>
      <w:lang w:val="en-US"/>
    </w:rPr>
  </w:style>
  <w:style w:type="paragraph" w:customStyle="1" w:styleId="xxxxmsonormal">
    <w:name w:val="x_x_x_x_msonormal"/>
    <w:pPr>
      <w:spacing w:before="100" w:after="100"/>
    </w:pPr>
    <w:rPr>
      <w:rFonts w:eastAsia="Times New Roman"/>
      <w:color w:val="000000"/>
      <w:sz w:val="24"/>
      <w:szCs w:val="24"/>
      <w:u w:color="000000"/>
      <w:lang w:val="en-US"/>
    </w:rPr>
  </w:style>
  <w:style w:type="paragraph" w:styleId="NoSpacing">
    <w:name w:val="No Spacing"/>
    <w:rPr>
      <w:rFonts w:ascii="Calibri" w:hAnsi="Calibri" w:cs="Arial Unicode MS"/>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 w:type="paragraph" w:styleId="BalloonText">
    <w:name w:val="Balloon Text"/>
    <w:basedOn w:val="Normal"/>
    <w:link w:val="BalloonTextChar"/>
    <w:uiPriority w:val="99"/>
    <w:semiHidden/>
    <w:unhideWhenUsed/>
    <w:rsid w:val="00E70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86"/>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TT"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lang w:val="en-US"/>
    </w:rPr>
  </w:style>
  <w:style w:type="paragraph" w:customStyle="1" w:styleId="p1">
    <w:name w:val="p1"/>
    <w:rPr>
      <w:rFonts w:ascii="Times Roman" w:hAnsi="Times Roman" w:cs="Arial Unicode MS"/>
      <w:color w:val="000000"/>
      <w:sz w:val="32"/>
      <w:szCs w:val="32"/>
      <w:u w:color="000000"/>
      <w:lang w:val="en-US"/>
    </w:rPr>
  </w:style>
  <w:style w:type="paragraph" w:customStyle="1" w:styleId="xxxxmsonormal">
    <w:name w:val="x_x_x_x_msonormal"/>
    <w:pPr>
      <w:spacing w:before="100" w:after="100"/>
    </w:pPr>
    <w:rPr>
      <w:rFonts w:eastAsia="Times New Roman"/>
      <w:color w:val="000000"/>
      <w:sz w:val="24"/>
      <w:szCs w:val="24"/>
      <w:u w:color="000000"/>
      <w:lang w:val="en-US"/>
    </w:rPr>
  </w:style>
  <w:style w:type="paragraph" w:styleId="NoSpacing">
    <w:name w:val="No Spacing"/>
    <w:rPr>
      <w:rFonts w:ascii="Calibri" w:hAnsi="Calibri" w:cs="Arial Unicode MS"/>
      <w:color w:val="000000"/>
      <w:sz w:val="22"/>
      <w:szCs w:val="22"/>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 w:type="paragraph" w:styleId="BalloonText">
    <w:name w:val="Balloon Text"/>
    <w:basedOn w:val="Normal"/>
    <w:link w:val="BalloonTextChar"/>
    <w:uiPriority w:val="99"/>
    <w:semiHidden/>
    <w:unhideWhenUsed/>
    <w:rsid w:val="00E70F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F8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gds@sta.uwi.edu" TargetMode="External"/><Relationship Id="rId10" Type="http://schemas.openxmlformats.org/officeDocument/2006/relationships/hyperlink" Target="https://sta.uwi.edu/igd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Macintosh Word</Application>
  <DocSecurity>0</DocSecurity>
  <Lines>48</Lines>
  <Paragraphs>13</Paragraphs>
  <ScaleCrop>false</ScaleCrop>
  <Company>Little Design Workshop</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Lydia Chan</cp:lastModifiedBy>
  <cp:revision>2</cp:revision>
  <dcterms:created xsi:type="dcterms:W3CDTF">2022-05-06T19:44:00Z</dcterms:created>
  <dcterms:modified xsi:type="dcterms:W3CDTF">2022-05-06T19:45:00Z</dcterms:modified>
</cp:coreProperties>
</file>