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E12C8B" w14:textId="6EA4F614" w:rsidR="0004601F" w:rsidRDefault="0004601F">
      <w:pPr>
        <w:jc w:val="center"/>
        <w:rPr>
          <w:rFonts w:ascii="Times New Roman" w:hAnsi="Times New Roman" w:cs="Times New Roman"/>
          <w:b/>
          <w:noProof/>
          <w:sz w:val="24"/>
          <w:szCs w:val="24"/>
        </w:rPr>
      </w:pPr>
      <w:r>
        <w:rPr>
          <w:rFonts w:ascii="Times New Roman" w:hAnsi="Times New Roman" w:cs="Times New Roman"/>
          <w:b/>
          <w:noProof/>
          <w:sz w:val="24"/>
          <w:szCs w:val="24"/>
        </w:rPr>
        <w:drawing>
          <wp:inline distT="0" distB="0" distL="0" distR="0" wp14:anchorId="64E5B3BA" wp14:editId="0E9A217C">
            <wp:extent cx="3985260" cy="1295400"/>
            <wp:effectExtent l="0" t="0" r="0" b="0"/>
            <wp:docPr id="13437730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flipV="1">
                      <a:off x="0" y="0"/>
                      <a:ext cx="3985260" cy="1295400"/>
                    </a:xfrm>
                    <a:prstGeom prst="rect">
                      <a:avLst/>
                    </a:prstGeom>
                    <a:noFill/>
                  </pic:spPr>
                </pic:pic>
              </a:graphicData>
            </a:graphic>
          </wp:inline>
        </w:drawing>
      </w:r>
    </w:p>
    <w:p w14:paraId="65363CB0" w14:textId="77777777" w:rsidR="0004601F" w:rsidRDefault="0004601F">
      <w:pPr>
        <w:jc w:val="center"/>
        <w:rPr>
          <w:rFonts w:ascii="Times New Roman" w:hAnsi="Times New Roman" w:cs="Times New Roman"/>
          <w:b/>
          <w:noProof/>
          <w:sz w:val="24"/>
          <w:szCs w:val="24"/>
        </w:rPr>
      </w:pPr>
    </w:p>
    <w:p w14:paraId="40FD5478" w14:textId="77777777" w:rsidR="0004601F" w:rsidRDefault="0004601F">
      <w:pPr>
        <w:jc w:val="center"/>
        <w:rPr>
          <w:rFonts w:ascii="Times New Roman" w:hAnsi="Times New Roman" w:cs="Times New Roman"/>
          <w:b/>
          <w:sz w:val="24"/>
          <w:szCs w:val="24"/>
        </w:rPr>
      </w:pPr>
    </w:p>
    <w:p w14:paraId="00000001" w14:textId="74D1BA33" w:rsidR="00053B5F" w:rsidRPr="00F600F5" w:rsidRDefault="00000000">
      <w:pPr>
        <w:jc w:val="center"/>
        <w:rPr>
          <w:rFonts w:ascii="Times New Roman" w:hAnsi="Times New Roman" w:cs="Times New Roman"/>
          <w:b/>
          <w:sz w:val="24"/>
          <w:szCs w:val="24"/>
        </w:rPr>
      </w:pPr>
      <w:r w:rsidRPr="00F600F5">
        <w:rPr>
          <w:rFonts w:ascii="Times New Roman" w:hAnsi="Times New Roman" w:cs="Times New Roman"/>
          <w:b/>
          <w:sz w:val="24"/>
          <w:szCs w:val="24"/>
        </w:rPr>
        <w:t>Department of Behavioural Sciences Postgraduate Research Conference 2025</w:t>
      </w:r>
    </w:p>
    <w:p w14:paraId="00000002" w14:textId="77777777" w:rsidR="00053B5F" w:rsidRPr="00F600F5" w:rsidRDefault="00000000">
      <w:pPr>
        <w:jc w:val="center"/>
        <w:rPr>
          <w:rFonts w:ascii="Times New Roman" w:hAnsi="Times New Roman" w:cs="Times New Roman"/>
          <w:b/>
          <w:sz w:val="24"/>
          <w:szCs w:val="24"/>
        </w:rPr>
      </w:pPr>
      <w:r w:rsidRPr="00F600F5">
        <w:rPr>
          <w:rFonts w:ascii="Times New Roman" w:hAnsi="Times New Roman" w:cs="Times New Roman"/>
          <w:b/>
          <w:sz w:val="24"/>
          <w:szCs w:val="24"/>
        </w:rPr>
        <w:t>Advancing Caribbean Thought, Research, and Praxis</w:t>
      </w:r>
    </w:p>
    <w:p w14:paraId="00000003" w14:textId="77777777" w:rsidR="00053B5F" w:rsidRPr="00F600F5" w:rsidRDefault="00053B5F">
      <w:pPr>
        <w:jc w:val="center"/>
        <w:rPr>
          <w:rFonts w:ascii="Times New Roman" w:hAnsi="Times New Roman" w:cs="Times New Roman"/>
          <w:b/>
          <w:sz w:val="24"/>
          <w:szCs w:val="24"/>
        </w:rPr>
      </w:pPr>
    </w:p>
    <w:p w14:paraId="00000004" w14:textId="77777777" w:rsidR="00053B5F" w:rsidRPr="00F600F5" w:rsidRDefault="00000000">
      <w:pPr>
        <w:jc w:val="center"/>
        <w:rPr>
          <w:rFonts w:ascii="Times New Roman" w:hAnsi="Times New Roman" w:cs="Times New Roman"/>
          <w:b/>
          <w:sz w:val="24"/>
          <w:szCs w:val="24"/>
        </w:rPr>
      </w:pPr>
      <w:r w:rsidRPr="00F600F5">
        <w:rPr>
          <w:rFonts w:ascii="Times New Roman" w:hAnsi="Times New Roman" w:cs="Times New Roman"/>
          <w:b/>
          <w:sz w:val="24"/>
          <w:szCs w:val="24"/>
        </w:rPr>
        <w:t>9th-10th October 2025 (Two day in-person conference), The University of the West Indies, St. Augustine campus</w:t>
      </w:r>
    </w:p>
    <w:p w14:paraId="00000005" w14:textId="77777777" w:rsidR="00053B5F" w:rsidRPr="00F600F5" w:rsidRDefault="00053B5F">
      <w:pPr>
        <w:rPr>
          <w:rFonts w:ascii="Times New Roman" w:hAnsi="Times New Roman" w:cs="Times New Roman"/>
          <w:sz w:val="24"/>
          <w:szCs w:val="24"/>
        </w:rPr>
      </w:pPr>
    </w:p>
    <w:p w14:paraId="00000006" w14:textId="77777777" w:rsidR="00053B5F" w:rsidRPr="00F600F5" w:rsidRDefault="00053B5F">
      <w:pPr>
        <w:jc w:val="center"/>
        <w:rPr>
          <w:rFonts w:ascii="Times New Roman" w:hAnsi="Times New Roman" w:cs="Times New Roman"/>
          <w:b/>
          <w:sz w:val="24"/>
          <w:szCs w:val="24"/>
        </w:rPr>
      </w:pPr>
    </w:p>
    <w:p w14:paraId="00000007" w14:textId="77777777" w:rsidR="00053B5F" w:rsidRPr="00F600F5" w:rsidRDefault="00000000">
      <w:pPr>
        <w:jc w:val="center"/>
        <w:rPr>
          <w:rFonts w:ascii="Times New Roman" w:hAnsi="Times New Roman" w:cs="Times New Roman"/>
          <w:b/>
          <w:sz w:val="24"/>
          <w:szCs w:val="24"/>
        </w:rPr>
      </w:pPr>
      <w:r w:rsidRPr="00F600F5">
        <w:rPr>
          <w:rFonts w:ascii="Times New Roman" w:hAnsi="Times New Roman" w:cs="Times New Roman"/>
          <w:b/>
          <w:sz w:val="24"/>
          <w:szCs w:val="24"/>
        </w:rPr>
        <w:t>CALL FOR PAPERS: Advancing Caribbean Thought, Research, and Praxis</w:t>
      </w:r>
    </w:p>
    <w:p w14:paraId="00000008" w14:textId="77777777" w:rsidR="00053B5F" w:rsidRPr="00F600F5" w:rsidRDefault="00053B5F">
      <w:pPr>
        <w:rPr>
          <w:rFonts w:ascii="Times New Roman" w:hAnsi="Times New Roman" w:cs="Times New Roman"/>
          <w:b/>
          <w:sz w:val="24"/>
          <w:szCs w:val="24"/>
        </w:rPr>
      </w:pPr>
    </w:p>
    <w:p w14:paraId="00000009"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The Department of Behavioural Sciences of the St. Augustine Campus of The University of the West Indies (UWI) is pleased to invite submissions for the in person biennial Postgraduate Research conference, ‘Advancing Caribbean Thought, Research, and Praxis.’</w:t>
      </w:r>
    </w:p>
    <w:p w14:paraId="0000000A" w14:textId="77777777" w:rsidR="00053B5F" w:rsidRPr="00F600F5" w:rsidRDefault="00053B5F" w:rsidP="00F600F5">
      <w:pPr>
        <w:jc w:val="both"/>
        <w:rPr>
          <w:rFonts w:ascii="Times New Roman" w:hAnsi="Times New Roman" w:cs="Times New Roman"/>
          <w:sz w:val="24"/>
          <w:szCs w:val="24"/>
        </w:rPr>
      </w:pPr>
    </w:p>
    <w:p w14:paraId="0000000B"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In 1966, four years after the political decolonization of the British West Indies, C.L.R. James delivered a talk to the Second West Indian Conference on West Indian Affairs entitled, ‘The making of the Caribbean people.’ James remarked on the ‘</w:t>
      </w:r>
      <w:proofErr w:type="gramStart"/>
      <w:r w:rsidRPr="00F600F5">
        <w:rPr>
          <w:rFonts w:ascii="Times New Roman" w:hAnsi="Times New Roman" w:cs="Times New Roman"/>
          <w:sz w:val="24"/>
          <w:szCs w:val="24"/>
        </w:rPr>
        <w:t>uniqueness’</w:t>
      </w:r>
      <w:proofErr w:type="gramEnd"/>
      <w:r w:rsidRPr="00F600F5">
        <w:rPr>
          <w:rFonts w:ascii="Times New Roman" w:hAnsi="Times New Roman" w:cs="Times New Roman"/>
          <w:sz w:val="24"/>
          <w:szCs w:val="24"/>
        </w:rPr>
        <w:t xml:space="preserve"> of Caribbean people, ‘both positively and negatively.’ Without devolving into a trope of Caribbean exceptionalism or limiting this dialogue to the Anglophone Caribbean, in this postgraduate conference we would like to draw on the spirit of James’ remarks to recognize the ‘</w:t>
      </w:r>
      <w:proofErr w:type="gramStart"/>
      <w:r w:rsidRPr="00F600F5">
        <w:rPr>
          <w:rFonts w:ascii="Times New Roman" w:hAnsi="Times New Roman" w:cs="Times New Roman"/>
          <w:sz w:val="24"/>
          <w:szCs w:val="24"/>
        </w:rPr>
        <w:t>uniqueness’</w:t>
      </w:r>
      <w:proofErr w:type="gramEnd"/>
      <w:r w:rsidRPr="00F600F5">
        <w:rPr>
          <w:rFonts w:ascii="Times New Roman" w:hAnsi="Times New Roman" w:cs="Times New Roman"/>
          <w:sz w:val="24"/>
          <w:szCs w:val="24"/>
        </w:rPr>
        <w:t xml:space="preserve"> of Caribbean historical conditions with the shared social problems of the twenty-first century. Caribbean intellectual and everyday thought, academic research, and practical approaches are critical in recognizing and addressing the region’s persistent collective challenges. The intersection of these domains highlights the uniqueness and richness of Caribbean perspectives and underscores their value in developing innovative and contextually relevant solutions. Postgraduate students, at the cusp of empirical and applied research, thinking, and praxis are especially well positioned to engage in this dialogue.</w:t>
      </w:r>
    </w:p>
    <w:p w14:paraId="0000000C" w14:textId="77777777" w:rsidR="00053B5F" w:rsidRPr="00F600F5" w:rsidRDefault="00053B5F">
      <w:pPr>
        <w:rPr>
          <w:rFonts w:ascii="Times New Roman" w:hAnsi="Times New Roman" w:cs="Times New Roman"/>
          <w:sz w:val="24"/>
          <w:szCs w:val="24"/>
        </w:rPr>
      </w:pPr>
    </w:p>
    <w:p w14:paraId="0000000E" w14:textId="77777777" w:rsidR="00053B5F" w:rsidRPr="00F600F5" w:rsidRDefault="00000000">
      <w:pPr>
        <w:rPr>
          <w:rFonts w:ascii="Times New Roman" w:hAnsi="Times New Roman" w:cs="Times New Roman"/>
          <w:b/>
          <w:sz w:val="24"/>
          <w:szCs w:val="24"/>
        </w:rPr>
      </w:pPr>
      <w:r w:rsidRPr="00F600F5">
        <w:rPr>
          <w:rFonts w:ascii="Times New Roman" w:hAnsi="Times New Roman" w:cs="Times New Roman"/>
          <w:b/>
          <w:sz w:val="24"/>
          <w:szCs w:val="24"/>
        </w:rPr>
        <w:t xml:space="preserve">Conceptualizing </w:t>
      </w:r>
      <w:r w:rsidRPr="00F600F5">
        <w:rPr>
          <w:rFonts w:ascii="Times New Roman" w:hAnsi="Times New Roman" w:cs="Times New Roman"/>
          <w:b/>
          <w:i/>
          <w:sz w:val="24"/>
          <w:szCs w:val="24"/>
        </w:rPr>
        <w:t>Praxis</w:t>
      </w:r>
      <w:r w:rsidRPr="00F600F5">
        <w:rPr>
          <w:rFonts w:ascii="Times New Roman" w:hAnsi="Times New Roman" w:cs="Times New Roman"/>
          <w:b/>
          <w:sz w:val="24"/>
          <w:szCs w:val="24"/>
        </w:rPr>
        <w:t>:</w:t>
      </w:r>
    </w:p>
    <w:p w14:paraId="0000000F"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We approach praxis in terms of thought, action, and practice. Intellectual thought provides the foundation for inquiry, generating ideas, theories and concepts that guide research. Research systematically and ethically investigates these ideas and hypotheses to build knowledge. Praxis bridges the gap between theory and practice, applying research findings to real world problems, further reflecting on outcomes to design effective solutions. This process of thinking, doing, and implementing is shared across academic disciplines, fostering innovation, critical thinking, and social change.</w:t>
      </w:r>
    </w:p>
    <w:p w14:paraId="00000010" w14:textId="77777777" w:rsidR="00053B5F" w:rsidRPr="00F600F5" w:rsidRDefault="00053B5F">
      <w:pPr>
        <w:rPr>
          <w:rFonts w:ascii="Times New Roman" w:hAnsi="Times New Roman" w:cs="Times New Roman"/>
          <w:sz w:val="24"/>
          <w:szCs w:val="24"/>
        </w:rPr>
      </w:pPr>
    </w:p>
    <w:p w14:paraId="00000011"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We invite postgraduate/graduate students, faculty, researchers, practitioners and stakeholders in any discipline to participate in and shape this multidisciplinary, interdisciplinary, and transdisciplinary conversation.</w:t>
      </w:r>
    </w:p>
    <w:p w14:paraId="00000012" w14:textId="77777777" w:rsidR="00053B5F" w:rsidRPr="00F600F5" w:rsidRDefault="00053B5F" w:rsidP="00F600F5">
      <w:pPr>
        <w:jc w:val="both"/>
        <w:rPr>
          <w:rFonts w:ascii="Times New Roman" w:hAnsi="Times New Roman" w:cs="Times New Roman"/>
          <w:sz w:val="24"/>
          <w:szCs w:val="24"/>
        </w:rPr>
      </w:pPr>
    </w:p>
    <w:p w14:paraId="00000013" w14:textId="103D5C65"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The following questions guide our approach to the conference:</w:t>
      </w:r>
    </w:p>
    <w:p w14:paraId="00000014" w14:textId="77777777" w:rsidR="00053B5F" w:rsidRPr="00F600F5" w:rsidRDefault="00053B5F">
      <w:pPr>
        <w:rPr>
          <w:rFonts w:ascii="Times New Roman" w:hAnsi="Times New Roman" w:cs="Times New Roman"/>
          <w:sz w:val="24"/>
          <w:szCs w:val="24"/>
        </w:rPr>
      </w:pPr>
    </w:p>
    <w:p w14:paraId="00000015"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To what extent does an understanding of historical conditions and power dynamics help to imagine more equitable Caribbean futures?</w:t>
      </w:r>
    </w:p>
    <w:p w14:paraId="00000016"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In what ways can social scientists foster praxis to promote social change?</w:t>
      </w:r>
    </w:p>
    <w:p w14:paraId="00000017"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What theories of change help to bridge any gaps between thinking and doing?</w:t>
      </w:r>
    </w:p>
    <w:p w14:paraId="00000018"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How do diverse epistemologies aid in addressing contemporary existential crises such as, the climate crisis?</w:t>
      </w:r>
    </w:p>
    <w:p w14:paraId="00000019"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xml:space="preserve">• To what extent does the iterative nature of praxis contribute to developing new theories and methodologies across academic disciplines?  </w:t>
      </w:r>
    </w:p>
    <w:p w14:paraId="0000001A"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sz w:val="24"/>
          <w:szCs w:val="24"/>
        </w:rPr>
        <w:t>• What interdisciplinary approaches to praxis help to implement solutions to persistent social problems?</w:t>
      </w:r>
    </w:p>
    <w:p w14:paraId="0000001B" w14:textId="77777777" w:rsidR="00053B5F" w:rsidRPr="00F600F5" w:rsidRDefault="00053B5F">
      <w:pPr>
        <w:rPr>
          <w:rFonts w:ascii="Times New Roman" w:hAnsi="Times New Roman" w:cs="Times New Roman"/>
          <w:sz w:val="24"/>
          <w:szCs w:val="24"/>
        </w:rPr>
      </w:pPr>
    </w:p>
    <w:p w14:paraId="0000001C"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Submissions may engage with the following topics, although additional themes are welcome:</w:t>
      </w:r>
    </w:p>
    <w:p w14:paraId="0000001D" w14:textId="77777777" w:rsidR="00053B5F" w:rsidRPr="00F600F5" w:rsidRDefault="00053B5F">
      <w:pPr>
        <w:rPr>
          <w:rFonts w:ascii="Times New Roman" w:hAnsi="Times New Roman" w:cs="Times New Roman"/>
          <w:sz w:val="24"/>
          <w:szCs w:val="24"/>
        </w:rPr>
      </w:pPr>
    </w:p>
    <w:p w14:paraId="0000001E"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Activism, solidarity and social movements</w:t>
      </w:r>
    </w:p>
    <w:p w14:paraId="0000001F"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Caribbean intellectual, philosophical and everyday thought</w:t>
      </w:r>
    </w:p>
    <w:p w14:paraId="00000020"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 </w:t>
      </w:r>
      <w:r w:rsidRPr="00F600F5">
        <w:rPr>
          <w:rFonts w:ascii="Times New Roman" w:hAnsi="Times New Roman" w:cs="Times New Roman"/>
          <w:sz w:val="24"/>
          <w:szCs w:val="24"/>
        </w:rPr>
        <w:tab/>
        <w:t xml:space="preserve">Caribbean epistemologies and methodologies </w:t>
      </w:r>
    </w:p>
    <w:p w14:paraId="00000021"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 </w:t>
      </w:r>
      <w:r w:rsidRPr="00F600F5">
        <w:rPr>
          <w:rFonts w:ascii="Times New Roman" w:hAnsi="Times New Roman" w:cs="Times New Roman"/>
          <w:sz w:val="24"/>
          <w:szCs w:val="24"/>
        </w:rPr>
        <w:tab/>
        <w:t>Caribbean youth and empowerment</w:t>
      </w:r>
    </w:p>
    <w:p w14:paraId="00000022"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 xml:space="preserve">Decolonial approaches to Caribbean social problems including, those related but not limited to areas of: </w:t>
      </w:r>
    </w:p>
    <w:p w14:paraId="00000023" w14:textId="77777777" w:rsidR="00053B5F" w:rsidRPr="00F600F5" w:rsidRDefault="00000000">
      <w:pPr>
        <w:ind w:firstLine="720"/>
        <w:rPr>
          <w:rFonts w:ascii="Times New Roman" w:hAnsi="Times New Roman" w:cs="Times New Roman"/>
          <w:sz w:val="24"/>
          <w:szCs w:val="24"/>
        </w:rPr>
      </w:pPr>
      <w:r w:rsidRPr="00F600F5">
        <w:rPr>
          <w:rFonts w:ascii="Times New Roman" w:hAnsi="Times New Roman" w:cs="Times New Roman"/>
          <w:sz w:val="24"/>
          <w:szCs w:val="24"/>
        </w:rPr>
        <w:t>• Climate justice, food security, crime</w:t>
      </w:r>
    </w:p>
    <w:p w14:paraId="00000024" w14:textId="77777777" w:rsidR="00053B5F" w:rsidRPr="00F600F5" w:rsidRDefault="00000000">
      <w:pPr>
        <w:ind w:firstLine="720"/>
        <w:rPr>
          <w:rFonts w:ascii="Times New Roman" w:hAnsi="Times New Roman" w:cs="Times New Roman"/>
          <w:sz w:val="24"/>
          <w:szCs w:val="24"/>
        </w:rPr>
      </w:pPr>
      <w:r w:rsidRPr="00F600F5">
        <w:rPr>
          <w:rFonts w:ascii="Times New Roman" w:hAnsi="Times New Roman" w:cs="Times New Roman"/>
          <w:sz w:val="24"/>
          <w:szCs w:val="24"/>
        </w:rPr>
        <w:t>• Social justice, equity, inclusion</w:t>
      </w:r>
    </w:p>
    <w:p w14:paraId="00000025"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 </w:t>
      </w:r>
      <w:r w:rsidRPr="00F600F5">
        <w:rPr>
          <w:rFonts w:ascii="Times New Roman" w:hAnsi="Times New Roman" w:cs="Times New Roman"/>
          <w:sz w:val="24"/>
          <w:szCs w:val="24"/>
        </w:rPr>
        <w:tab/>
        <w:t>Diversity</w:t>
      </w:r>
    </w:p>
    <w:p w14:paraId="00000026"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Governance, democracy and political economy</w:t>
      </w:r>
    </w:p>
    <w:p w14:paraId="00000027"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Health, well-being, resilience and human rights</w:t>
      </w:r>
    </w:p>
    <w:p w14:paraId="00000028"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 </w:t>
      </w:r>
      <w:r w:rsidRPr="00F600F5">
        <w:rPr>
          <w:rFonts w:ascii="Times New Roman" w:hAnsi="Times New Roman" w:cs="Times New Roman"/>
          <w:sz w:val="24"/>
          <w:szCs w:val="24"/>
        </w:rPr>
        <w:tab/>
        <w:t>Ideology, technology and social change</w:t>
      </w:r>
    </w:p>
    <w:p w14:paraId="00000029"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 </w:t>
      </w:r>
      <w:r w:rsidRPr="00F600F5">
        <w:rPr>
          <w:rFonts w:ascii="Times New Roman" w:hAnsi="Times New Roman" w:cs="Times New Roman"/>
          <w:sz w:val="24"/>
          <w:szCs w:val="24"/>
        </w:rPr>
        <w:tab/>
        <w:t>Multiculturalism, migration, collective memory and heritage</w:t>
      </w:r>
    </w:p>
    <w:p w14:paraId="0000002A"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 xml:space="preserve">Race, ethnicity, gender, class  </w:t>
      </w:r>
    </w:p>
    <w:p w14:paraId="0000002B"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w:t>
      </w:r>
      <w:r w:rsidRPr="00F600F5">
        <w:rPr>
          <w:rFonts w:ascii="Times New Roman" w:hAnsi="Times New Roman" w:cs="Times New Roman"/>
          <w:sz w:val="24"/>
          <w:szCs w:val="24"/>
        </w:rPr>
        <w:tab/>
        <w:t xml:space="preserve">Social and economic planning </w:t>
      </w:r>
    </w:p>
    <w:p w14:paraId="0000002C" w14:textId="77777777" w:rsidR="00053B5F" w:rsidRPr="00F600F5" w:rsidRDefault="00053B5F">
      <w:pPr>
        <w:rPr>
          <w:rFonts w:ascii="Times New Roman" w:hAnsi="Times New Roman" w:cs="Times New Roman"/>
          <w:sz w:val="24"/>
          <w:szCs w:val="24"/>
        </w:rPr>
      </w:pPr>
    </w:p>
    <w:p w14:paraId="0000002D" w14:textId="77777777" w:rsidR="00053B5F" w:rsidRPr="00F600F5" w:rsidRDefault="00000000">
      <w:pPr>
        <w:rPr>
          <w:rFonts w:ascii="Times New Roman" w:hAnsi="Times New Roman" w:cs="Times New Roman"/>
          <w:b/>
          <w:sz w:val="24"/>
          <w:szCs w:val="24"/>
        </w:rPr>
      </w:pPr>
      <w:r w:rsidRPr="00F600F5">
        <w:rPr>
          <w:rFonts w:ascii="Times New Roman" w:hAnsi="Times New Roman" w:cs="Times New Roman"/>
          <w:b/>
          <w:sz w:val="24"/>
          <w:szCs w:val="24"/>
        </w:rPr>
        <w:t>Submission Guidelines:</w:t>
      </w:r>
    </w:p>
    <w:p w14:paraId="0000002E"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We invite papers, fully constituted panel submissions, and hard copy poster submissions. </w:t>
      </w:r>
    </w:p>
    <w:p w14:paraId="0000002F" w14:textId="77777777" w:rsidR="00053B5F" w:rsidRPr="00F600F5" w:rsidRDefault="00053B5F">
      <w:pPr>
        <w:rPr>
          <w:rFonts w:ascii="Times New Roman" w:hAnsi="Times New Roman" w:cs="Times New Roman"/>
          <w:sz w:val="24"/>
          <w:szCs w:val="24"/>
        </w:rPr>
      </w:pPr>
    </w:p>
    <w:p w14:paraId="00000030"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Submissions should include:</w:t>
      </w:r>
    </w:p>
    <w:p w14:paraId="00000031"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b/>
          <w:sz w:val="24"/>
          <w:szCs w:val="24"/>
        </w:rPr>
        <w:t>1.</w:t>
      </w:r>
      <w:r w:rsidRPr="00F600F5">
        <w:rPr>
          <w:rFonts w:ascii="Times New Roman" w:hAnsi="Times New Roman" w:cs="Times New Roman"/>
          <w:b/>
          <w:sz w:val="24"/>
          <w:szCs w:val="24"/>
        </w:rPr>
        <w:tab/>
        <w:t>For paper submissions:</w:t>
      </w:r>
      <w:r w:rsidRPr="00F600F5">
        <w:rPr>
          <w:rFonts w:ascii="Times New Roman" w:hAnsi="Times New Roman" w:cs="Times New Roman"/>
          <w:sz w:val="24"/>
          <w:szCs w:val="24"/>
        </w:rPr>
        <w:t xml:space="preserve"> a title, a 300-500 word abstract, and the presenter’s name, affiliation, and contact information. Abstracts are accepted in English only. Individual papers may include collaborative/team research.</w:t>
      </w:r>
    </w:p>
    <w:p w14:paraId="00000032"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b/>
          <w:sz w:val="24"/>
          <w:szCs w:val="24"/>
        </w:rPr>
        <w:lastRenderedPageBreak/>
        <w:t>2.</w:t>
      </w:r>
      <w:r w:rsidRPr="00F600F5">
        <w:rPr>
          <w:rFonts w:ascii="Times New Roman" w:hAnsi="Times New Roman" w:cs="Times New Roman"/>
          <w:b/>
          <w:sz w:val="24"/>
          <w:szCs w:val="24"/>
        </w:rPr>
        <w:tab/>
        <w:t>For panel proposals:</w:t>
      </w:r>
      <w:r w:rsidRPr="00F600F5">
        <w:rPr>
          <w:rFonts w:ascii="Times New Roman" w:hAnsi="Times New Roman" w:cs="Times New Roman"/>
          <w:sz w:val="24"/>
          <w:szCs w:val="24"/>
        </w:rPr>
        <w:t xml:space="preserve"> a title, a 300-500 word abstract for the panel, a 150-200 word abstract for the individual paper, the panel chair’s name, presenters’ names, affiliations, and contact information. Abstracts are accepted in English only. Panels should consist of 3-4 papers. </w:t>
      </w:r>
    </w:p>
    <w:p w14:paraId="00000033" w14:textId="77777777" w:rsidR="00053B5F" w:rsidRPr="00F600F5" w:rsidRDefault="00000000" w:rsidP="00F600F5">
      <w:pPr>
        <w:jc w:val="both"/>
        <w:rPr>
          <w:rFonts w:ascii="Times New Roman" w:hAnsi="Times New Roman" w:cs="Times New Roman"/>
          <w:sz w:val="24"/>
          <w:szCs w:val="24"/>
        </w:rPr>
      </w:pPr>
      <w:r w:rsidRPr="00F600F5">
        <w:rPr>
          <w:rFonts w:ascii="Times New Roman" w:hAnsi="Times New Roman" w:cs="Times New Roman"/>
          <w:b/>
          <w:sz w:val="24"/>
          <w:szCs w:val="24"/>
        </w:rPr>
        <w:t>3.</w:t>
      </w:r>
      <w:r w:rsidRPr="00F600F5">
        <w:rPr>
          <w:rFonts w:ascii="Times New Roman" w:hAnsi="Times New Roman" w:cs="Times New Roman"/>
          <w:b/>
          <w:sz w:val="24"/>
          <w:szCs w:val="24"/>
        </w:rPr>
        <w:tab/>
        <w:t xml:space="preserve">For poster submissions: </w:t>
      </w:r>
      <w:r w:rsidRPr="00F600F5">
        <w:rPr>
          <w:rFonts w:ascii="Times New Roman" w:hAnsi="Times New Roman" w:cs="Times New Roman"/>
          <w:sz w:val="24"/>
          <w:szCs w:val="24"/>
        </w:rPr>
        <w:t xml:space="preserve">a title, a 300-500 word abstract, and the presenter’s name, affiliation, and contact information. Abstracts are accepted in English only. Poster submissions may include collaborative/team research. </w:t>
      </w:r>
    </w:p>
    <w:p w14:paraId="00000034" w14:textId="77777777" w:rsidR="00053B5F" w:rsidRPr="00F600F5" w:rsidRDefault="00053B5F">
      <w:pPr>
        <w:rPr>
          <w:rFonts w:ascii="Times New Roman" w:hAnsi="Times New Roman" w:cs="Times New Roman"/>
          <w:sz w:val="24"/>
          <w:szCs w:val="24"/>
        </w:rPr>
      </w:pPr>
    </w:p>
    <w:p w14:paraId="00000035"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b/>
          <w:sz w:val="24"/>
          <w:szCs w:val="24"/>
        </w:rPr>
        <w:t xml:space="preserve">Submission Deadline: </w:t>
      </w:r>
      <w:r w:rsidRPr="00F600F5">
        <w:rPr>
          <w:rFonts w:ascii="Times New Roman" w:hAnsi="Times New Roman" w:cs="Times New Roman"/>
          <w:sz w:val="24"/>
          <w:szCs w:val="24"/>
        </w:rPr>
        <w:t>15th May 2025</w:t>
      </w:r>
    </w:p>
    <w:p w14:paraId="00000036"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b/>
          <w:sz w:val="24"/>
          <w:szCs w:val="24"/>
        </w:rPr>
        <w:t>Notification of Decisions:</w:t>
      </w:r>
      <w:r w:rsidRPr="00F600F5">
        <w:rPr>
          <w:rFonts w:ascii="Times New Roman" w:hAnsi="Times New Roman" w:cs="Times New Roman"/>
          <w:sz w:val="24"/>
          <w:szCs w:val="24"/>
        </w:rPr>
        <w:t xml:space="preserve"> 31st May 2025</w:t>
      </w:r>
    </w:p>
    <w:p w14:paraId="00000037" w14:textId="77777777" w:rsidR="00053B5F" w:rsidRPr="00F600F5" w:rsidRDefault="00053B5F">
      <w:pPr>
        <w:rPr>
          <w:rFonts w:ascii="Times New Roman" w:hAnsi="Times New Roman" w:cs="Times New Roman"/>
          <w:sz w:val="24"/>
          <w:szCs w:val="24"/>
        </w:rPr>
      </w:pPr>
    </w:p>
    <w:p w14:paraId="00000038" w14:textId="77777777" w:rsidR="00053B5F" w:rsidRPr="00F600F5" w:rsidRDefault="00000000">
      <w:pPr>
        <w:rPr>
          <w:rFonts w:ascii="Times New Roman" w:hAnsi="Times New Roman" w:cs="Times New Roman"/>
          <w:b/>
          <w:sz w:val="24"/>
          <w:szCs w:val="24"/>
        </w:rPr>
      </w:pPr>
      <w:r w:rsidRPr="00F600F5">
        <w:rPr>
          <w:rFonts w:ascii="Times New Roman" w:hAnsi="Times New Roman" w:cs="Times New Roman"/>
          <w:b/>
          <w:sz w:val="24"/>
          <w:szCs w:val="24"/>
        </w:rPr>
        <w:t>How to draft an abstract / what we would like to see:</w:t>
      </w:r>
    </w:p>
    <w:p w14:paraId="00000039"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-Brief introduction to the research/project</w:t>
      </w:r>
    </w:p>
    <w:p w14:paraId="0000003A"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-Objective(s)</w:t>
      </w:r>
    </w:p>
    <w:p w14:paraId="0000003B"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-Methods/Methodology</w:t>
      </w:r>
    </w:p>
    <w:p w14:paraId="0000003C"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-Results (if any)</w:t>
      </w:r>
    </w:p>
    <w:p w14:paraId="0000003D" w14:textId="77777777" w:rsidR="00053B5F" w:rsidRPr="00F600F5" w:rsidRDefault="00053B5F">
      <w:pPr>
        <w:rPr>
          <w:rFonts w:ascii="Times New Roman" w:hAnsi="Times New Roman" w:cs="Times New Roman"/>
          <w:sz w:val="24"/>
          <w:szCs w:val="24"/>
        </w:rPr>
      </w:pPr>
    </w:p>
    <w:p w14:paraId="0000003E" w14:textId="77777777" w:rsidR="00053B5F" w:rsidRPr="00F600F5" w:rsidRDefault="00000000">
      <w:pPr>
        <w:rPr>
          <w:rFonts w:ascii="Times New Roman" w:hAnsi="Times New Roman" w:cs="Times New Roman"/>
          <w:b/>
          <w:sz w:val="24"/>
          <w:szCs w:val="24"/>
        </w:rPr>
      </w:pPr>
      <w:r w:rsidRPr="00F600F5">
        <w:rPr>
          <w:rFonts w:ascii="Times New Roman" w:hAnsi="Times New Roman" w:cs="Times New Roman"/>
          <w:sz w:val="24"/>
          <w:szCs w:val="24"/>
        </w:rPr>
        <w:t xml:space="preserve">Please submit your paper and panel abstracts to: STA-Behavioural.Sciences@sta.uwi.edu and the Conference Planning Chairs, Dr. Shelene Gomes at shelene.gomes@uwi.edu and Dr. Katija Khan at katija.khan@uwi.edu with the subject heading: </w:t>
      </w:r>
      <w:r w:rsidRPr="00F600F5">
        <w:rPr>
          <w:rFonts w:ascii="Times New Roman" w:hAnsi="Times New Roman" w:cs="Times New Roman"/>
          <w:b/>
          <w:sz w:val="24"/>
          <w:szCs w:val="24"/>
        </w:rPr>
        <w:t>DOBS Postgraduate Research Conference 2025.</w:t>
      </w:r>
    </w:p>
    <w:p w14:paraId="0000003F" w14:textId="77777777" w:rsidR="00053B5F" w:rsidRPr="00F600F5" w:rsidRDefault="00053B5F">
      <w:pPr>
        <w:rPr>
          <w:rFonts w:ascii="Times New Roman" w:hAnsi="Times New Roman" w:cs="Times New Roman"/>
          <w:sz w:val="24"/>
          <w:szCs w:val="24"/>
        </w:rPr>
      </w:pPr>
    </w:p>
    <w:p w14:paraId="00000040"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For questions regarding submissions, please contact us at the abovementioned addresses.</w:t>
      </w:r>
    </w:p>
    <w:p w14:paraId="00000041" w14:textId="77777777" w:rsidR="00053B5F" w:rsidRPr="00F600F5" w:rsidRDefault="00053B5F">
      <w:pPr>
        <w:rPr>
          <w:rFonts w:ascii="Times New Roman" w:hAnsi="Times New Roman" w:cs="Times New Roman"/>
          <w:sz w:val="24"/>
          <w:szCs w:val="24"/>
        </w:rPr>
      </w:pPr>
    </w:p>
    <w:p w14:paraId="00000042"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There is no cost attached to registration.</w:t>
      </w:r>
    </w:p>
    <w:p w14:paraId="00000043" w14:textId="77777777" w:rsidR="00053B5F" w:rsidRPr="00F600F5" w:rsidRDefault="00053B5F">
      <w:pPr>
        <w:rPr>
          <w:rFonts w:ascii="Times New Roman" w:hAnsi="Times New Roman" w:cs="Times New Roman"/>
          <w:sz w:val="24"/>
          <w:szCs w:val="24"/>
        </w:rPr>
      </w:pPr>
    </w:p>
    <w:p w14:paraId="00000044"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MPhil/PhD candidates at UWI campuses other than the St. Augustine campus, are encouraged to explore the conference funding offered by the School for Graduate Studies and Research on their respective campuses.</w:t>
      </w:r>
    </w:p>
    <w:p w14:paraId="00000045" w14:textId="77777777" w:rsidR="00053B5F" w:rsidRPr="00F600F5" w:rsidRDefault="00053B5F">
      <w:pPr>
        <w:rPr>
          <w:rFonts w:ascii="Times New Roman" w:hAnsi="Times New Roman" w:cs="Times New Roman"/>
          <w:sz w:val="24"/>
          <w:szCs w:val="24"/>
        </w:rPr>
      </w:pPr>
    </w:p>
    <w:p w14:paraId="00000046" w14:textId="77777777" w:rsidR="00053B5F" w:rsidRPr="00F600F5" w:rsidRDefault="00000000">
      <w:pPr>
        <w:rPr>
          <w:rFonts w:ascii="Times New Roman" w:hAnsi="Times New Roman" w:cs="Times New Roman"/>
          <w:sz w:val="24"/>
          <w:szCs w:val="24"/>
        </w:rPr>
      </w:pPr>
      <w:r w:rsidRPr="00F600F5">
        <w:rPr>
          <w:rFonts w:ascii="Times New Roman" w:hAnsi="Times New Roman" w:cs="Times New Roman"/>
          <w:sz w:val="24"/>
          <w:szCs w:val="24"/>
        </w:rPr>
        <w:t xml:space="preserve">We look forward to your contributions on the theme of </w:t>
      </w:r>
      <w:r w:rsidRPr="00F600F5">
        <w:rPr>
          <w:rFonts w:ascii="Times New Roman" w:hAnsi="Times New Roman" w:cs="Times New Roman"/>
          <w:i/>
          <w:sz w:val="24"/>
          <w:szCs w:val="24"/>
        </w:rPr>
        <w:t>Advancing Caribbean Thought, Research, and Praxis</w:t>
      </w:r>
      <w:r w:rsidRPr="00F600F5">
        <w:rPr>
          <w:rFonts w:ascii="Times New Roman" w:hAnsi="Times New Roman" w:cs="Times New Roman"/>
          <w:sz w:val="24"/>
          <w:szCs w:val="24"/>
        </w:rPr>
        <w:t>.</w:t>
      </w:r>
    </w:p>
    <w:sectPr w:rsidR="00053B5F" w:rsidRPr="00F600F5" w:rsidSect="00F600F5">
      <w:headerReference w:type="default" r:id="rId8"/>
      <w:pgSz w:w="11909" w:h="16834"/>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5E498D" w14:textId="77777777" w:rsidR="00F645D5" w:rsidRDefault="00F645D5">
      <w:pPr>
        <w:spacing w:line="240" w:lineRule="auto"/>
      </w:pPr>
      <w:r>
        <w:separator/>
      </w:r>
    </w:p>
  </w:endnote>
  <w:endnote w:type="continuationSeparator" w:id="0">
    <w:p w14:paraId="7795B77B" w14:textId="77777777" w:rsidR="00F645D5" w:rsidRDefault="00F645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B3B090" w14:textId="77777777" w:rsidR="00F645D5" w:rsidRDefault="00F645D5">
      <w:pPr>
        <w:spacing w:line="240" w:lineRule="auto"/>
      </w:pPr>
      <w:r>
        <w:separator/>
      </w:r>
    </w:p>
  </w:footnote>
  <w:footnote w:type="continuationSeparator" w:id="0">
    <w:p w14:paraId="46E2505B" w14:textId="77777777" w:rsidR="00F645D5" w:rsidRDefault="00F645D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7" w14:textId="75016F5F" w:rsidR="00053B5F" w:rsidRDefault="00000000">
    <w:pPr>
      <w:jc w:val="right"/>
    </w:pPr>
    <w:r>
      <w:rPr>
        <w:b/>
      </w:rPr>
      <w:fldChar w:fldCharType="begin"/>
    </w:r>
    <w:r>
      <w:rPr>
        <w:b/>
      </w:rPr>
      <w:instrText>PAGE</w:instrText>
    </w:r>
    <w:r>
      <w:rPr>
        <w:b/>
      </w:rPr>
      <w:fldChar w:fldCharType="separate"/>
    </w:r>
    <w:r w:rsidR="00F600F5">
      <w:rPr>
        <w:b/>
        <w:noProof/>
      </w:rPr>
      <w:t>1</w:t>
    </w:r>
    <w:r>
      <w:rPr>
        <w:b/>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B5F"/>
    <w:rsid w:val="0004601F"/>
    <w:rsid w:val="00053B5F"/>
    <w:rsid w:val="00553794"/>
    <w:rsid w:val="00B55087"/>
    <w:rsid w:val="00F600F5"/>
    <w:rsid w:val="00F64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0C3E80"/>
  <w15:docId w15:val="{57FD772A-97B1-46BA-A9A4-61F639A8C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F600F5"/>
    <w:pPr>
      <w:tabs>
        <w:tab w:val="center" w:pos="4680"/>
        <w:tab w:val="right" w:pos="9360"/>
      </w:tabs>
      <w:spacing w:line="240" w:lineRule="auto"/>
    </w:pPr>
  </w:style>
  <w:style w:type="character" w:customStyle="1" w:styleId="HeaderChar">
    <w:name w:val="Header Char"/>
    <w:basedOn w:val="DefaultParagraphFont"/>
    <w:link w:val="Header"/>
    <w:uiPriority w:val="99"/>
    <w:rsid w:val="00F600F5"/>
  </w:style>
  <w:style w:type="paragraph" w:styleId="Footer">
    <w:name w:val="footer"/>
    <w:basedOn w:val="Normal"/>
    <w:link w:val="FooterChar"/>
    <w:uiPriority w:val="99"/>
    <w:unhideWhenUsed/>
    <w:rsid w:val="00F600F5"/>
    <w:pPr>
      <w:tabs>
        <w:tab w:val="center" w:pos="4680"/>
        <w:tab w:val="right" w:pos="9360"/>
      </w:tabs>
      <w:spacing w:line="240" w:lineRule="auto"/>
    </w:pPr>
  </w:style>
  <w:style w:type="character" w:customStyle="1" w:styleId="FooterChar">
    <w:name w:val="Footer Char"/>
    <w:basedOn w:val="DefaultParagraphFont"/>
    <w:link w:val="Footer"/>
    <w:uiPriority w:val="99"/>
    <w:rsid w:val="00F600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C66B70-0AB9-4D8A-8B46-A142FB400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872</Words>
  <Characters>4971</Characters>
  <Application>Microsoft Office Word</Application>
  <DocSecurity>0</DocSecurity>
  <Lines>41</Lines>
  <Paragraphs>11</Paragraphs>
  <ScaleCrop>false</ScaleCrop>
  <Company/>
  <LinksUpToDate>false</LinksUpToDate>
  <CharactersWithSpaces>5832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Author</cp:lastModifiedBy>
  <cp:revision>3</cp:revision>
  <dcterms:created xsi:type="dcterms:W3CDTF">2025-03-14T17:47:00Z</dcterms:created>
  <dcterms:modified xsi:type="dcterms:W3CDTF">2025-03-14T20:28:00Z</dcterms:modified>
</cp:coreProperties>
</file>